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496" w:rsidRDefault="00C90496" w:rsidP="00C90496">
      <w:pPr>
        <w:shd w:val="clear" w:color="auto" w:fill="FFFFFF"/>
        <w:spacing w:after="0" w:line="240" w:lineRule="auto"/>
        <w:jc w:val="both"/>
        <w:textAlignment w:val="baseline"/>
        <w:outlineLvl w:val="5"/>
        <w:rPr>
          <w:rFonts w:ascii="Helvetica" w:eastAsia="Times New Roman" w:hAnsi="Helvetica" w:cs="Times New Roman"/>
          <w:color w:val="333333"/>
          <w:sz w:val="23"/>
          <w:szCs w:val="23"/>
          <w:lang w:eastAsia="it-IT"/>
        </w:rPr>
      </w:pPr>
      <w:r>
        <w:rPr>
          <w:rFonts w:ascii="Helvetica" w:eastAsia="Times New Roman" w:hAnsi="Helvetica" w:cs="Times New Roman"/>
          <w:color w:val="333333"/>
          <w:sz w:val="23"/>
          <w:szCs w:val="23"/>
          <w:lang w:eastAsia="it-IT"/>
        </w:rPr>
        <w:t>L</w:t>
      </w:r>
      <w:r w:rsidRPr="00C90496">
        <w:rPr>
          <w:rFonts w:ascii="Helvetica" w:eastAsia="Times New Roman" w:hAnsi="Helvetica" w:cs="Times New Roman"/>
          <w:color w:val="333333"/>
          <w:sz w:val="23"/>
          <w:szCs w:val="23"/>
          <w:lang w:eastAsia="it-IT"/>
        </w:rPr>
        <w:t>’applicazione di eventuali </w:t>
      </w:r>
      <w:r w:rsidRPr="00C90496">
        <w:rPr>
          <w:rFonts w:ascii="inherit" w:eastAsia="Times New Roman" w:hAnsi="inherit" w:cs="Times New Roman"/>
          <w:b/>
          <w:bCs/>
          <w:color w:val="333333"/>
          <w:sz w:val="23"/>
          <w:szCs w:val="23"/>
          <w:bdr w:val="none" w:sz="0" w:space="0" w:color="auto" w:frame="1"/>
          <w:lang w:eastAsia="it-IT"/>
        </w:rPr>
        <w:t>cause di forza maggiore</w:t>
      </w:r>
      <w:r w:rsidRPr="00C90496">
        <w:rPr>
          <w:rFonts w:ascii="Helvetica" w:eastAsia="Times New Roman" w:hAnsi="Helvetica" w:cs="Times New Roman"/>
          <w:color w:val="333333"/>
          <w:sz w:val="23"/>
          <w:szCs w:val="23"/>
          <w:lang w:eastAsia="it-IT"/>
        </w:rPr>
        <w:t xml:space="preserve"> dovrà essere autorizzata da </w:t>
      </w:r>
      <w:proofErr w:type="spellStart"/>
      <w:r w:rsidRPr="00C90496">
        <w:rPr>
          <w:rFonts w:ascii="Helvetica" w:eastAsia="Times New Roman" w:hAnsi="Helvetica" w:cs="Times New Roman"/>
          <w:color w:val="333333"/>
          <w:sz w:val="23"/>
          <w:szCs w:val="23"/>
          <w:lang w:eastAsia="it-IT"/>
        </w:rPr>
        <w:t>UniCT</w:t>
      </w:r>
      <w:proofErr w:type="spellEnd"/>
      <w:r w:rsidRPr="00C90496">
        <w:rPr>
          <w:rFonts w:ascii="Helvetica" w:eastAsia="Times New Roman" w:hAnsi="Helvetica" w:cs="Times New Roman"/>
          <w:color w:val="333333"/>
          <w:sz w:val="23"/>
          <w:szCs w:val="23"/>
          <w:lang w:eastAsia="it-IT"/>
        </w:rPr>
        <w:t xml:space="preserve">. </w:t>
      </w:r>
    </w:p>
    <w:p w:rsidR="00C90496" w:rsidRDefault="00C90496" w:rsidP="00C90496">
      <w:pPr>
        <w:shd w:val="clear" w:color="auto" w:fill="FFFFFF"/>
        <w:spacing w:after="0" w:line="240" w:lineRule="auto"/>
        <w:jc w:val="both"/>
        <w:textAlignment w:val="baseline"/>
        <w:outlineLvl w:val="5"/>
        <w:rPr>
          <w:rFonts w:ascii="Helvetica" w:eastAsia="Times New Roman" w:hAnsi="Helvetica" w:cs="Times New Roman"/>
          <w:color w:val="333333"/>
          <w:sz w:val="23"/>
          <w:szCs w:val="23"/>
          <w:lang w:eastAsia="it-IT"/>
        </w:rPr>
      </w:pPr>
      <w:bookmarkStart w:id="0" w:name="_GoBack"/>
      <w:bookmarkEnd w:id="0"/>
    </w:p>
    <w:p w:rsidR="00C90496" w:rsidRDefault="00C90496" w:rsidP="00C90496">
      <w:pPr>
        <w:shd w:val="clear" w:color="auto" w:fill="FFFFFF"/>
        <w:spacing w:after="0" w:line="240" w:lineRule="auto"/>
        <w:jc w:val="both"/>
        <w:textAlignment w:val="baseline"/>
        <w:outlineLvl w:val="5"/>
        <w:rPr>
          <w:rFonts w:ascii="Helvetica" w:eastAsia="Times New Roman" w:hAnsi="Helvetica" w:cs="Times New Roman"/>
          <w:color w:val="333333"/>
          <w:sz w:val="23"/>
          <w:szCs w:val="23"/>
          <w:lang w:eastAsia="it-IT"/>
        </w:rPr>
      </w:pPr>
      <w:r w:rsidRPr="00C90496">
        <w:rPr>
          <w:rFonts w:ascii="Helvetica" w:eastAsia="Times New Roman" w:hAnsi="Helvetica" w:cs="Times New Roman"/>
          <w:color w:val="333333"/>
          <w:sz w:val="23"/>
          <w:szCs w:val="23"/>
          <w:lang w:eastAsia="it-IT"/>
        </w:rPr>
        <w:t xml:space="preserve">A seguito di tale autorizzazione o della valutazione dell’ineleggibilità delle spese sostenute, </w:t>
      </w:r>
      <w:proofErr w:type="spellStart"/>
      <w:r w:rsidRPr="00C90496">
        <w:rPr>
          <w:rFonts w:ascii="Helvetica" w:eastAsia="Times New Roman" w:hAnsi="Helvetica" w:cs="Times New Roman"/>
          <w:color w:val="333333"/>
          <w:sz w:val="23"/>
          <w:szCs w:val="23"/>
          <w:lang w:eastAsia="it-IT"/>
        </w:rPr>
        <w:t>UniCT</w:t>
      </w:r>
      <w:proofErr w:type="spellEnd"/>
      <w:r w:rsidRPr="00C90496">
        <w:rPr>
          <w:rFonts w:ascii="Helvetica" w:eastAsia="Times New Roman" w:hAnsi="Helvetica" w:cs="Times New Roman"/>
          <w:color w:val="333333"/>
          <w:sz w:val="23"/>
          <w:szCs w:val="23"/>
          <w:lang w:eastAsia="it-IT"/>
        </w:rPr>
        <w:t xml:space="preserve"> procederà al recupero della eventuale borsa erogata in eccesso. La documentazione giustificativa, che dimostri l’evidenza dell’impossibilità del rimborso o del recupero delle spese straordinarie sostenute, dovrà obbligatoriamente essere trasmessa all’UMI, contestualmente al modulo di interruzione, che la conserverà nel fascicolo del beneficiario per renderla disponibile in caso di controlli da parte del MUR. Di seguito l’elenco delle tipologie di spesa rispetto alle quali sarà possibile richiedere il rimborso da sottoporre alla valutazione di </w:t>
      </w:r>
      <w:proofErr w:type="spellStart"/>
      <w:r w:rsidRPr="00C90496">
        <w:rPr>
          <w:rFonts w:ascii="Helvetica" w:eastAsia="Times New Roman" w:hAnsi="Helvetica" w:cs="Times New Roman"/>
          <w:color w:val="333333"/>
          <w:sz w:val="23"/>
          <w:szCs w:val="23"/>
          <w:lang w:eastAsia="it-IT"/>
        </w:rPr>
        <w:t>UniCT</w:t>
      </w:r>
      <w:proofErr w:type="spellEnd"/>
      <w:r w:rsidRPr="00C90496">
        <w:rPr>
          <w:rFonts w:ascii="Helvetica" w:eastAsia="Times New Roman" w:hAnsi="Helvetica" w:cs="Times New Roman"/>
          <w:color w:val="333333"/>
          <w:sz w:val="23"/>
          <w:szCs w:val="23"/>
          <w:lang w:eastAsia="it-IT"/>
        </w:rPr>
        <w:t>: </w:t>
      </w:r>
    </w:p>
    <w:p w:rsidR="00C90496" w:rsidRPr="00C90496" w:rsidRDefault="00C90496" w:rsidP="00C90496">
      <w:pPr>
        <w:shd w:val="clear" w:color="auto" w:fill="FFFFFF"/>
        <w:spacing w:after="0" w:line="240" w:lineRule="auto"/>
        <w:jc w:val="both"/>
        <w:textAlignment w:val="baseline"/>
        <w:outlineLvl w:val="5"/>
        <w:rPr>
          <w:rFonts w:ascii="Helvetica" w:eastAsia="Times New Roman" w:hAnsi="Helvetica" w:cs="Times New Roman"/>
          <w:color w:val="333333"/>
          <w:sz w:val="23"/>
          <w:szCs w:val="23"/>
          <w:lang w:eastAsia="it-IT"/>
        </w:rPr>
      </w:pPr>
      <w:r w:rsidRPr="00C90496">
        <w:rPr>
          <w:rFonts w:ascii="Arial" w:eastAsia="Times New Roman" w:hAnsi="Arial" w:cs="Arial"/>
          <w:color w:val="333333"/>
          <w:sz w:val="23"/>
          <w:szCs w:val="23"/>
          <w:lang w:eastAsia="it-IT"/>
        </w:rPr>
        <w:t>​</w:t>
      </w:r>
    </w:p>
    <w:p w:rsidR="00C90496" w:rsidRPr="00C90496" w:rsidRDefault="00C90496" w:rsidP="00C90496">
      <w:pPr>
        <w:numPr>
          <w:ilvl w:val="0"/>
          <w:numId w:val="1"/>
        </w:numPr>
        <w:shd w:val="clear" w:color="auto" w:fill="FFFFFF"/>
        <w:spacing w:after="0" w:line="240" w:lineRule="auto"/>
        <w:ind w:left="360"/>
        <w:jc w:val="both"/>
        <w:textAlignment w:val="baseline"/>
        <w:outlineLvl w:val="5"/>
        <w:rPr>
          <w:rFonts w:ascii="inherit" w:eastAsia="Times New Roman" w:hAnsi="inherit" w:cs="Times New Roman"/>
          <w:color w:val="333333"/>
          <w:sz w:val="23"/>
          <w:szCs w:val="23"/>
          <w:lang w:eastAsia="it-IT"/>
        </w:rPr>
      </w:pPr>
      <w:r w:rsidRPr="00C90496">
        <w:rPr>
          <w:rFonts w:ascii="inherit" w:eastAsia="Times New Roman" w:hAnsi="inherit" w:cs="Times New Roman"/>
          <w:b/>
          <w:bCs/>
          <w:color w:val="333333"/>
          <w:sz w:val="23"/>
          <w:szCs w:val="23"/>
          <w:bdr w:val="none" w:sz="0" w:space="0" w:color="auto" w:frame="1"/>
          <w:lang w:eastAsia="it-IT"/>
        </w:rPr>
        <w:t>biglietti aerei acquistati in fase di emergenza COVID-19</w:t>
      </w:r>
      <w:r w:rsidRPr="00C90496">
        <w:rPr>
          <w:rFonts w:ascii="inherit" w:eastAsia="Times New Roman" w:hAnsi="inherit" w:cs="Times New Roman"/>
          <w:color w:val="333333"/>
          <w:sz w:val="23"/>
          <w:szCs w:val="23"/>
          <w:lang w:eastAsia="it-IT"/>
        </w:rPr>
        <w:t xml:space="preserve">, a decorrere dal 4 marzo 2020 (data del DPCM con cui viene decretata la sospensione delle attività didattiche nelle università italiane), utilizzati per ritornare presso </w:t>
      </w:r>
      <w:proofErr w:type="spellStart"/>
      <w:r w:rsidRPr="00C90496">
        <w:rPr>
          <w:rFonts w:ascii="inherit" w:eastAsia="Times New Roman" w:hAnsi="inherit" w:cs="Times New Roman"/>
          <w:color w:val="333333"/>
          <w:sz w:val="23"/>
          <w:szCs w:val="23"/>
          <w:lang w:eastAsia="it-IT"/>
        </w:rPr>
        <w:t>UniCT</w:t>
      </w:r>
      <w:proofErr w:type="spellEnd"/>
      <w:r w:rsidRPr="00C90496">
        <w:rPr>
          <w:rFonts w:ascii="inherit" w:eastAsia="Times New Roman" w:hAnsi="inherit" w:cs="Times New Roman"/>
          <w:color w:val="333333"/>
          <w:sz w:val="23"/>
          <w:szCs w:val="23"/>
          <w:lang w:eastAsia="it-IT"/>
        </w:rPr>
        <w:t xml:space="preserve"> ed eventuali extra per l’imbarco dei bagagli;</w:t>
      </w:r>
    </w:p>
    <w:p w:rsidR="00C90496" w:rsidRPr="00C90496" w:rsidRDefault="00C90496" w:rsidP="00C90496">
      <w:pPr>
        <w:numPr>
          <w:ilvl w:val="0"/>
          <w:numId w:val="1"/>
        </w:numPr>
        <w:shd w:val="clear" w:color="auto" w:fill="FFFFFF"/>
        <w:spacing w:after="0" w:line="240" w:lineRule="auto"/>
        <w:ind w:left="360"/>
        <w:jc w:val="both"/>
        <w:textAlignment w:val="baseline"/>
        <w:outlineLvl w:val="5"/>
        <w:rPr>
          <w:rFonts w:ascii="inherit" w:eastAsia="Times New Roman" w:hAnsi="inherit" w:cs="Times New Roman"/>
          <w:color w:val="333333"/>
          <w:sz w:val="23"/>
          <w:szCs w:val="23"/>
          <w:lang w:eastAsia="it-IT"/>
        </w:rPr>
      </w:pPr>
      <w:r w:rsidRPr="00C90496">
        <w:rPr>
          <w:rFonts w:ascii="inherit" w:eastAsia="Times New Roman" w:hAnsi="inherit" w:cs="Times New Roman"/>
          <w:b/>
          <w:bCs/>
          <w:color w:val="333333"/>
          <w:sz w:val="23"/>
          <w:szCs w:val="23"/>
          <w:bdr w:val="none" w:sz="0" w:space="0" w:color="auto" w:frame="1"/>
          <w:lang w:eastAsia="it-IT"/>
        </w:rPr>
        <w:t>spese per l’utilizzo di mezzi di trasporto privat</w:t>
      </w:r>
      <w:r w:rsidRPr="00C90496">
        <w:rPr>
          <w:rFonts w:ascii="inherit" w:eastAsia="Times New Roman" w:hAnsi="inherit" w:cs="Times New Roman"/>
          <w:color w:val="333333"/>
          <w:sz w:val="23"/>
          <w:szCs w:val="23"/>
          <w:lang w:eastAsia="it-IT"/>
        </w:rPr>
        <w:t>i per raggiungere l’aeroporto estero in assenza documentata di mezzi pubblici;</w:t>
      </w:r>
    </w:p>
    <w:p w:rsidR="00C90496" w:rsidRPr="00C90496" w:rsidRDefault="00C90496" w:rsidP="00C90496">
      <w:pPr>
        <w:numPr>
          <w:ilvl w:val="0"/>
          <w:numId w:val="1"/>
        </w:numPr>
        <w:shd w:val="clear" w:color="auto" w:fill="FFFFFF"/>
        <w:spacing w:after="0" w:line="240" w:lineRule="auto"/>
        <w:ind w:left="360"/>
        <w:jc w:val="both"/>
        <w:textAlignment w:val="baseline"/>
        <w:outlineLvl w:val="5"/>
        <w:rPr>
          <w:rFonts w:ascii="inherit" w:eastAsia="Times New Roman" w:hAnsi="inherit" w:cs="Times New Roman"/>
          <w:color w:val="333333"/>
          <w:sz w:val="23"/>
          <w:szCs w:val="23"/>
          <w:lang w:eastAsia="it-IT"/>
        </w:rPr>
      </w:pPr>
      <w:r w:rsidRPr="00C90496">
        <w:rPr>
          <w:rFonts w:ascii="inherit" w:eastAsia="Times New Roman" w:hAnsi="inherit" w:cs="Times New Roman"/>
          <w:b/>
          <w:bCs/>
          <w:color w:val="333333"/>
          <w:sz w:val="23"/>
          <w:szCs w:val="23"/>
          <w:bdr w:val="none" w:sz="0" w:space="0" w:color="auto" w:frame="1"/>
          <w:lang w:eastAsia="it-IT"/>
        </w:rPr>
        <w:t>biglietti aerei acquistati ma non utilizzati</w:t>
      </w:r>
      <w:r w:rsidRPr="00C90496">
        <w:rPr>
          <w:rFonts w:ascii="inherit" w:eastAsia="Times New Roman" w:hAnsi="inherit" w:cs="Times New Roman"/>
          <w:color w:val="333333"/>
          <w:sz w:val="23"/>
          <w:szCs w:val="23"/>
          <w:lang w:eastAsia="it-IT"/>
        </w:rPr>
        <w:t> (se la compagnia aerea non procede al rimborso);</w:t>
      </w:r>
    </w:p>
    <w:p w:rsidR="00C90496" w:rsidRPr="00C90496" w:rsidRDefault="00C90496" w:rsidP="00C90496">
      <w:pPr>
        <w:numPr>
          <w:ilvl w:val="0"/>
          <w:numId w:val="1"/>
        </w:numPr>
        <w:shd w:val="clear" w:color="auto" w:fill="FFFFFF"/>
        <w:spacing w:after="0" w:line="240" w:lineRule="auto"/>
        <w:ind w:left="360"/>
        <w:jc w:val="both"/>
        <w:textAlignment w:val="baseline"/>
        <w:outlineLvl w:val="5"/>
        <w:rPr>
          <w:rFonts w:ascii="inherit" w:eastAsia="Times New Roman" w:hAnsi="inherit" w:cs="Times New Roman"/>
          <w:color w:val="333333"/>
          <w:sz w:val="23"/>
          <w:szCs w:val="23"/>
          <w:lang w:eastAsia="it-IT"/>
        </w:rPr>
      </w:pPr>
      <w:r w:rsidRPr="00C90496">
        <w:rPr>
          <w:rFonts w:ascii="inherit" w:eastAsia="Times New Roman" w:hAnsi="inherit" w:cs="Times New Roman"/>
          <w:b/>
          <w:bCs/>
          <w:color w:val="333333"/>
          <w:sz w:val="23"/>
          <w:szCs w:val="23"/>
          <w:bdr w:val="none" w:sz="0" w:space="0" w:color="auto" w:frame="1"/>
          <w:lang w:eastAsia="it-IT"/>
        </w:rPr>
        <w:t>caparra per l’alloggio non goduto</w:t>
      </w:r>
      <w:r w:rsidRPr="00C90496">
        <w:rPr>
          <w:rFonts w:ascii="inherit" w:eastAsia="Times New Roman" w:hAnsi="inherit" w:cs="Times New Roman"/>
          <w:color w:val="333333"/>
          <w:sz w:val="23"/>
          <w:szCs w:val="23"/>
          <w:lang w:eastAsia="it-IT"/>
        </w:rPr>
        <w:t> (se il proprietario/ente non lo restituisce);</w:t>
      </w:r>
    </w:p>
    <w:p w:rsidR="00C90496" w:rsidRPr="00C90496" w:rsidRDefault="00C90496" w:rsidP="00C90496">
      <w:pPr>
        <w:numPr>
          <w:ilvl w:val="0"/>
          <w:numId w:val="1"/>
        </w:numPr>
        <w:shd w:val="clear" w:color="auto" w:fill="FFFFFF"/>
        <w:spacing w:after="0" w:line="240" w:lineRule="auto"/>
        <w:ind w:left="360"/>
        <w:jc w:val="both"/>
        <w:textAlignment w:val="baseline"/>
        <w:outlineLvl w:val="5"/>
        <w:rPr>
          <w:rFonts w:ascii="inherit" w:eastAsia="Times New Roman" w:hAnsi="inherit" w:cs="Times New Roman"/>
          <w:color w:val="333333"/>
          <w:sz w:val="23"/>
          <w:szCs w:val="23"/>
          <w:lang w:eastAsia="it-IT"/>
        </w:rPr>
      </w:pPr>
      <w:r w:rsidRPr="00C90496">
        <w:rPr>
          <w:rFonts w:ascii="inherit" w:eastAsia="Times New Roman" w:hAnsi="inherit" w:cs="Times New Roman"/>
          <w:b/>
          <w:bCs/>
          <w:color w:val="333333"/>
          <w:sz w:val="23"/>
          <w:szCs w:val="23"/>
          <w:bdr w:val="none" w:sz="0" w:space="0" w:color="auto" w:frame="1"/>
          <w:lang w:eastAsia="it-IT"/>
        </w:rPr>
        <w:t>spese mediche o farmaceutiche</w:t>
      </w:r>
      <w:r w:rsidRPr="00C90496">
        <w:rPr>
          <w:rFonts w:ascii="inherit" w:eastAsia="Times New Roman" w:hAnsi="inherit" w:cs="Times New Roman"/>
          <w:color w:val="333333"/>
          <w:sz w:val="23"/>
          <w:szCs w:val="23"/>
          <w:lang w:eastAsia="it-IT"/>
        </w:rPr>
        <w:t> per cure o prodotti acquistati causa prevenzione/cura COVID-19;</w:t>
      </w:r>
    </w:p>
    <w:p w:rsidR="00C90496" w:rsidRPr="00C90496" w:rsidRDefault="00C90496" w:rsidP="00C90496">
      <w:pPr>
        <w:numPr>
          <w:ilvl w:val="0"/>
          <w:numId w:val="1"/>
        </w:numPr>
        <w:shd w:val="clear" w:color="auto" w:fill="FFFFFF"/>
        <w:spacing w:after="0" w:line="240" w:lineRule="auto"/>
        <w:ind w:left="360"/>
        <w:jc w:val="both"/>
        <w:textAlignment w:val="baseline"/>
        <w:outlineLvl w:val="5"/>
        <w:rPr>
          <w:rFonts w:ascii="inherit" w:eastAsia="Times New Roman" w:hAnsi="inherit" w:cs="Times New Roman"/>
          <w:color w:val="333333"/>
          <w:sz w:val="23"/>
          <w:szCs w:val="23"/>
          <w:lang w:eastAsia="it-IT"/>
        </w:rPr>
      </w:pPr>
      <w:r w:rsidRPr="00C90496">
        <w:rPr>
          <w:rFonts w:ascii="inherit" w:eastAsia="Times New Roman" w:hAnsi="inherit" w:cs="Times New Roman"/>
          <w:b/>
          <w:bCs/>
          <w:color w:val="333333"/>
          <w:sz w:val="23"/>
          <w:szCs w:val="23"/>
          <w:bdr w:val="none" w:sz="0" w:space="0" w:color="auto" w:frame="1"/>
          <w:lang w:eastAsia="it-IT"/>
        </w:rPr>
        <w:t>spese per assicurazioni straordinarie</w:t>
      </w:r>
      <w:r w:rsidRPr="00C90496">
        <w:rPr>
          <w:rFonts w:ascii="inherit" w:eastAsia="Times New Roman" w:hAnsi="inherit" w:cs="Times New Roman"/>
          <w:color w:val="333333"/>
          <w:sz w:val="23"/>
          <w:szCs w:val="23"/>
          <w:lang w:eastAsia="it-IT"/>
        </w:rPr>
        <w:t> richieste dagli enti ospitanti causa COVID-19;</w:t>
      </w:r>
    </w:p>
    <w:p w:rsidR="00C90496" w:rsidRPr="00C90496" w:rsidRDefault="00C90496" w:rsidP="00C90496">
      <w:pPr>
        <w:numPr>
          <w:ilvl w:val="0"/>
          <w:numId w:val="1"/>
        </w:numPr>
        <w:shd w:val="clear" w:color="auto" w:fill="FFFFFF"/>
        <w:spacing w:after="0" w:line="240" w:lineRule="auto"/>
        <w:ind w:left="360"/>
        <w:jc w:val="both"/>
        <w:textAlignment w:val="baseline"/>
        <w:outlineLvl w:val="5"/>
        <w:rPr>
          <w:rFonts w:ascii="inherit" w:eastAsia="Times New Roman" w:hAnsi="inherit" w:cs="Times New Roman"/>
          <w:color w:val="333333"/>
          <w:sz w:val="23"/>
          <w:szCs w:val="23"/>
          <w:lang w:eastAsia="it-IT"/>
        </w:rPr>
      </w:pPr>
      <w:r w:rsidRPr="00C90496">
        <w:rPr>
          <w:rFonts w:ascii="inherit" w:eastAsia="Times New Roman" w:hAnsi="inherit" w:cs="Times New Roman"/>
          <w:b/>
          <w:bCs/>
          <w:color w:val="333333"/>
          <w:sz w:val="23"/>
          <w:szCs w:val="23"/>
          <w:bdr w:val="none" w:sz="0" w:space="0" w:color="auto" w:frame="1"/>
          <w:lang w:eastAsia="it-IT"/>
        </w:rPr>
        <w:t>tasse di registrazione o contributi per il diritto allo studio</w:t>
      </w:r>
      <w:r w:rsidRPr="00C90496">
        <w:rPr>
          <w:rFonts w:ascii="inherit" w:eastAsia="Times New Roman" w:hAnsi="inherit" w:cs="Times New Roman"/>
          <w:color w:val="333333"/>
          <w:sz w:val="23"/>
          <w:szCs w:val="23"/>
          <w:lang w:eastAsia="it-IT"/>
        </w:rPr>
        <w:t> richiesti dalle università estere per periodi non fruiti (se non rimborsati dall’ente ospitante)</w:t>
      </w:r>
    </w:p>
    <w:p w:rsidR="002F4277" w:rsidRDefault="00C90496"/>
    <w:sectPr w:rsidR="002F42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E4823"/>
    <w:multiLevelType w:val="multilevel"/>
    <w:tmpl w:val="40929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96"/>
    <w:rsid w:val="003F7558"/>
    <w:rsid w:val="006577B8"/>
    <w:rsid w:val="00C904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BF32"/>
  <w15:chartTrackingRefBased/>
  <w15:docId w15:val="{6A4DA390-C74E-4190-9CD4-F2AC506D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2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gmarletta</dc:creator>
  <cp:keywords/>
  <dc:description/>
  <cp:lastModifiedBy>gmarletta</cp:lastModifiedBy>
  <cp:revision>1</cp:revision>
  <dcterms:created xsi:type="dcterms:W3CDTF">2020-07-28T12:09:00Z</dcterms:created>
  <dcterms:modified xsi:type="dcterms:W3CDTF">2020-07-28T12:10:00Z</dcterms:modified>
</cp:coreProperties>
</file>