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20150" w14:textId="77777777" w:rsidR="006A2180" w:rsidRDefault="00000000">
      <w:pPr>
        <w:keepNext/>
        <w:keepLines/>
        <w:pBdr>
          <w:top w:val="nil"/>
          <w:left w:val="nil"/>
          <w:bottom w:val="nil"/>
          <w:right w:val="nil"/>
          <w:between w:val="nil"/>
        </w:pBdr>
        <w:spacing w:before="40" w:after="0" w:line="259" w:lineRule="auto"/>
        <w:ind w:left="720" w:hanging="360"/>
        <w:rPr>
          <w:color w:val="366091"/>
          <w:sz w:val="26"/>
          <w:szCs w:val="26"/>
        </w:rPr>
      </w:pPr>
      <w:r>
        <w:rPr>
          <w:color w:val="366091"/>
          <w:sz w:val="26"/>
          <w:szCs w:val="26"/>
        </w:rPr>
        <w:t>Allegato 1.</w:t>
      </w:r>
      <w:r>
        <w:rPr>
          <w:color w:val="366091"/>
          <w:sz w:val="26"/>
          <w:szCs w:val="26"/>
        </w:rPr>
        <w:tab/>
        <w:t>Principali definizioni applicabili al bando</w:t>
      </w:r>
    </w:p>
    <w:p w14:paraId="76092AE8" w14:textId="77777777" w:rsidR="006A2180" w:rsidRDefault="006A2180">
      <w:pPr>
        <w:keepNext/>
        <w:keepLines/>
        <w:pBdr>
          <w:top w:val="nil"/>
          <w:left w:val="nil"/>
          <w:bottom w:val="nil"/>
          <w:right w:val="nil"/>
          <w:between w:val="nil"/>
        </w:pBdr>
        <w:spacing w:before="40" w:after="0" w:line="259" w:lineRule="auto"/>
        <w:ind w:left="720" w:hanging="360"/>
        <w:rPr>
          <w:color w:val="366091"/>
          <w:sz w:val="26"/>
          <w:szCs w:val="26"/>
        </w:rPr>
      </w:pPr>
    </w:p>
    <w:p w14:paraId="58C0061C" w14:textId="5137FF49" w:rsidR="006A2180" w:rsidRDefault="00000000">
      <w:pPr>
        <w:spacing w:after="160" w:line="259" w:lineRule="auto"/>
        <w:jc w:val="both"/>
        <w:rPr>
          <w:b/>
        </w:rPr>
      </w:pPr>
      <w:r>
        <w:rPr>
          <w:b/>
        </w:rPr>
        <w:t xml:space="preserve">Avviso pubblico per la presentazione di progetti per attività di ricerca industriale e sviluppo sperimentale indirizzato a organismi di ricerca, ‘bandi a cascata’ da finanziare nell’ambito del Piano nazionale per gli investimenti complementari al PNRR (PNC, istituito con il decreto-legge 6 maggio 2021, n. 59, convertito dalla legge n. 101 del 2021), iniziative di ricerca per tecnologie e percorsi innovativi in ambito Sanitario e Assistenziale (Decreto Direttoriale n. 931 del 06-06-2022), progetto PNC0000003 - Anthem - </w:t>
      </w:r>
      <w:proofErr w:type="spellStart"/>
      <w:r>
        <w:rPr>
          <w:b/>
        </w:rPr>
        <w:t>AdvaNced</w:t>
      </w:r>
      <w:proofErr w:type="spellEnd"/>
      <w:r>
        <w:rPr>
          <w:b/>
        </w:rPr>
        <w:t xml:space="preserve"> Technologies for Human-</w:t>
      </w:r>
      <w:proofErr w:type="spellStart"/>
      <w:r>
        <w:rPr>
          <w:b/>
        </w:rPr>
        <w:t>centrEd</w:t>
      </w:r>
      <w:proofErr w:type="spellEnd"/>
      <w:r>
        <w:rPr>
          <w:b/>
        </w:rPr>
        <w:t xml:space="preserve"> Medicine finanziato con il Decreto Direttoriale 9 dicembre 2022, prot. n. 0001983 </w:t>
      </w:r>
      <w:r w:rsidRPr="008A3647">
        <w:rPr>
          <w:b/>
        </w:rPr>
        <w:t xml:space="preserve">-  CUP </w:t>
      </w:r>
      <w:r w:rsidR="008A3647" w:rsidRPr="008A3647">
        <w:rPr>
          <w:b/>
          <w:sz w:val="24"/>
          <w:szCs w:val="24"/>
        </w:rPr>
        <w:t>B53C22006590001</w:t>
      </w:r>
    </w:p>
    <w:p w14:paraId="59B7355D" w14:textId="77777777" w:rsidR="006A2180" w:rsidRDefault="006A2180">
      <w:pPr>
        <w:jc w:val="both"/>
        <w:rPr>
          <w:b/>
          <w:highlight w:val="yellow"/>
        </w:rPr>
      </w:pPr>
      <w:bookmarkStart w:id="0" w:name="_heading=h.30j0zll" w:colFirst="0" w:colLast="0"/>
      <w:bookmarkEnd w:id="0"/>
    </w:p>
    <w:p w14:paraId="64871EC7" w14:textId="77777777" w:rsidR="006A2180" w:rsidRDefault="00000000">
      <w:pPr>
        <w:jc w:val="both"/>
      </w:pPr>
      <w:r>
        <w:rPr>
          <w:b/>
        </w:rPr>
        <w:t>Organismo di ricerca (o Organismo di ricerca e di diffusione delle conoscenze):</w:t>
      </w:r>
      <w:r>
        <w:t xml:space="preserve"> entità (ad esempio, università o istituti di ricerca, agenzie incaricate del trasferimento di conoscenze, intermediari dell'innovazione, entità collaborative reali o virtuali orientate alla ricerca), indipendentemente dal suo status giuridico (costituito secondo il diritto privato o pubblico) o fonte di finanziamento, la cui finalità principale consiste nello svolgere in maniera indipendente attività di ricerca fondamentale, di ricerca industriale o di sviluppo sperimentale o nel garantire un'ampia diffusione dei risultati di tali attività mediante l'insegnamento, la pubblicazione o il trasferimento di conoscenze. Qualora tale entità svolga anche attività economiche, il finanziamento, i costi e i ricavi di tali attività economiche devono formare oggetto di contabilità separata. Le imprese in grado di esercitare un'influenza determinante su tale entità, ad esempio in qualità di azionisti o di soci, non possono godere di alcun accesso preferenziale ai risultati da essa generati.</w:t>
      </w:r>
    </w:p>
    <w:p w14:paraId="2EB4AB02" w14:textId="77777777" w:rsidR="006A2180" w:rsidRDefault="00000000">
      <w:pPr>
        <w:spacing w:after="0" w:line="259" w:lineRule="auto"/>
        <w:jc w:val="both"/>
      </w:pPr>
      <w:r>
        <w:t>Gli organismi di ricerca e di diffusione delle conoscenze («organismi di ricerca») sono beneficiari di aiuti di Stato se il finanziamento pubblico che ricevono soddisfa tutte le condizioni di cui all’articolo 107, paragrafo 1, del trattato. In conformità con la giurisprudenza della Corte di giustizia, il beneficiario deve rispondere alla definizione di impresa e tale qualifica dipende dal fatto di svolgere un’attività economica, cioè un’attività consistente nell’offrire prodotti e servizi su un dato mercato. La Commissione considera che, generalmente, le seguenti attività rivestono carattere non economico.</w:t>
      </w:r>
    </w:p>
    <w:p w14:paraId="64114916" w14:textId="77777777" w:rsidR="006A2180" w:rsidRDefault="00000000">
      <w:pPr>
        <w:spacing w:after="0" w:line="259" w:lineRule="auto"/>
        <w:jc w:val="both"/>
      </w:pPr>
      <w:r>
        <w:t>a) principali attività degli organismi di ricerca e delle infrastrutture di ricerca, in particolare:</w:t>
      </w:r>
    </w:p>
    <w:p w14:paraId="062DB746" w14:textId="77777777" w:rsidR="006A2180" w:rsidRDefault="00000000">
      <w:pPr>
        <w:spacing w:after="0" w:line="259" w:lineRule="auto"/>
        <w:jc w:val="both"/>
      </w:pPr>
      <w:r>
        <w:t>— le attività di formazione volte ad ottenere risorse umane più numerose e meglio qualificate. In linea con la giurisprudenza e la prassi decisionale della Commissione, e come spiegato nella comunicazione relativa alla nozione di aiuto di Stato e nella comunicazione relativa ai SIEG, l’istruzione pubblica organizzata nell’ambito del sistema scolastico nazionale, prevalentemente o totalmente finanziata dallo Stato e controllata dallo Stato, è considerata attività non economica,</w:t>
      </w:r>
    </w:p>
    <w:p w14:paraId="22DCA996" w14:textId="77777777" w:rsidR="006A2180" w:rsidRDefault="00000000">
      <w:pPr>
        <w:spacing w:after="0" w:line="259" w:lineRule="auto"/>
        <w:jc w:val="both"/>
      </w:pPr>
      <w:r>
        <w:t>— le attività di R&amp;S svolte in maniera indipendente e volte all’acquisizione di maggiori conoscenze e di una migliore comprensione, inclusa la R&amp;S collaborativa, nel cui ambito un organismo di ricerca o l’infrastruttura di ricerca intraprendono un’effettiva collaborazione. La fornitura di servizi di R&amp;S e le attività di R&amp;S svolte per conto di imprese non sono considerate attività R&amp;S indipendenti.</w:t>
      </w:r>
    </w:p>
    <w:p w14:paraId="066298F7" w14:textId="77777777" w:rsidR="006A2180" w:rsidRDefault="00000000">
      <w:pPr>
        <w:spacing w:after="0" w:line="259" w:lineRule="auto"/>
        <w:jc w:val="both"/>
      </w:pPr>
      <w:r>
        <w:lastRenderedPageBreak/>
        <w:t>— l’ampia diffusione dei risultati della ricerca su base non esclusiva e non discriminatoria, ad esempio attraverso l’insegnamento, le banche dati ad accesso aperto, le pubblicazioni aperte o il software open source.</w:t>
      </w:r>
    </w:p>
    <w:p w14:paraId="0F92FB6C" w14:textId="77777777" w:rsidR="006A2180" w:rsidRDefault="00000000">
      <w:pPr>
        <w:spacing w:after="0" w:line="259" w:lineRule="auto"/>
        <w:jc w:val="both"/>
      </w:pPr>
      <w:r>
        <w:t>b) le attività di trasferimento di conoscenze, svolte dall’organismo di ricerca o dall’infrastruttura di ricerca (compresi i rispettivi dipartimenti o filiali), o congiuntamente con altri organismi o per loro conto, e laddove tutti gli utili provenienti da dette attività siano reinvestiti nelle attività primarie dell’organismo di ricerca o dell’infrastruttura di ricerca. Il carattere non economico di tali attività non viene meno se la prestazione dei servizi corrispondenti è appaltata a terzi con procedura di gara aperta.</w:t>
      </w:r>
    </w:p>
    <w:p w14:paraId="14C420D9" w14:textId="77777777" w:rsidR="006A2180" w:rsidRDefault="006A2180">
      <w:pPr>
        <w:spacing w:after="0" w:line="259" w:lineRule="auto"/>
        <w:jc w:val="both"/>
      </w:pPr>
    </w:p>
    <w:p w14:paraId="432CEAAA" w14:textId="77777777" w:rsidR="006A2180" w:rsidRDefault="00000000">
      <w:pPr>
        <w:spacing w:after="0" w:line="259" w:lineRule="auto"/>
        <w:jc w:val="both"/>
      </w:pPr>
      <w:r>
        <w:t>Se un organismo di ricerca è utilizzato tanto per attività economiche che non economiche, i finanziamenti pubblici rientrano nelle norme in materia di aiuti di Stato solo nella misura in cui coprono i costi connessi ad attività economiche. Quando un organismo di ricerca o un’infrastruttura di ricerca sono finanziati con fondi sia pubblici sia privati, la Commissione riterrà che tale sia il caso se il finanziamento pubblico assegnato alla pertinente entità per un determinato periodo contabile è superiore ai costi delle attività non economiche sostenute in quel periodo. Se l’organismo è utilizzato quasi esclusivamente per attività di natura non economica, il relativo finanziamento può esulare completamente dalle norme in materia di aiuti di Stato, a condizione che l’utilizzo economico rimanga puramente accessorio, ossia corrisponda a un’attività necessaria e direttamente collegata al funzionamento dell’organismo di ricerca oppure intrinsecamente legata al suo uso non economico principale, e che abbia portata limitata. Ai fini della presente disciplina, la Commissione riterrà che tale sia il caso laddove l’attività economica assorbe esattamente gli stessi fattori di produzione (quali materiali, attrezzature, manodopera e capitale fisso) delle attività non economiche e la capacità destinata ogni anno a tali attività economiche non supera il 20 % della pertinente capacità annua complessiva dell’entità.</w:t>
      </w:r>
    </w:p>
    <w:p w14:paraId="2D3360B0" w14:textId="77777777" w:rsidR="006A2180" w:rsidRDefault="006A2180">
      <w:pPr>
        <w:jc w:val="both"/>
      </w:pPr>
    </w:p>
    <w:p w14:paraId="27110D1E" w14:textId="77777777" w:rsidR="006A2180" w:rsidRDefault="00000000">
      <w:pPr>
        <w:jc w:val="both"/>
      </w:pPr>
      <w:r>
        <w:rPr>
          <w:b/>
        </w:rPr>
        <w:t>Ricerca industriale</w:t>
      </w:r>
      <w:r>
        <w:t>: ricerca pianificata o indagini critiche miranti ad acquisire nuove conoscenze e capacità da utilizzare per sviluppare nuovi prodotti, processi o servizi o per apportare un notevole miglioramento ai prodotti, processi o servizi esistenti. Essa comprende la creazione di componenti di sistemi complessi e può includere la costruzione di prototipi in ambiente di laboratorio o in un ambiente dotato di interfacce di simulazione verso sistemi esistenti e la realizzazione di linee pilota, se ciò è necessario ai fini della ricerca industriale, in particolare ai fini della convalida di tecnologie generiche.</w:t>
      </w:r>
    </w:p>
    <w:p w14:paraId="5430EED2" w14:textId="77777777" w:rsidR="006A2180" w:rsidRDefault="00000000">
      <w:pPr>
        <w:jc w:val="both"/>
      </w:pPr>
      <w:r>
        <w:rPr>
          <w:b/>
        </w:rPr>
        <w:t>Sviluppo sperimentale:</w:t>
      </w:r>
      <w:r>
        <w:t xml:space="preserve"> l'acquisizione, la combinazione, la strutturazione e l'utilizzo delle conoscenze e capacità esistenti di natura scientifica, tecnologica, commerciale e di altro tipo allo scopo di sviluppare prodotti, processi o servizi nuovi o migliorati. Rientrano in questa definizione anche altre attività destinate alla definizione concettuale, alla pianificazione e alla documentazione di nuovi prodotti, processi o servizi. Rientrano nello sviluppo sperimentale la costruzione di prototipi, la dimostrazione, la realizzazione di prodotti pilota, test e convalida di prodotti, processi o servizi nuovi o migliorati, effettuate in un ambiente che riproduce le condizioni operative reali laddove l'obiettivo primario è l'apporto di ulteriori miglioramenti tecnici a prodotti, processi e servizi che non sono sostanzialmente definitivi. Lo sviluppo sperimentale può </w:t>
      </w:r>
      <w:r>
        <w:lastRenderedPageBreak/>
        <w:t>quindi comprendere lo sviluppo di un prototipo o di un prodotto pilota utilizzabile per scopi commerciali che è necessariamente il prodotto commerciale finale e il cui costo di fabbricazione è troppo elevato per essere utilizzato soltanto a fini di dimostrazione e di convalida. Lo sviluppo sperimentale non comprende tuttavia le modifiche di routine o le modifiche periodiche apportate a  prodotti, linee di produzione, processi di fabbricazione e servizi esistenti e ad altre operazioni in corso, anche quando tali modifiche rappresentino miglioramenti.</w:t>
      </w:r>
    </w:p>
    <w:p w14:paraId="7446CD98" w14:textId="77777777" w:rsidR="006A2180" w:rsidRDefault="00000000">
      <w:pPr>
        <w:jc w:val="both"/>
      </w:pPr>
      <w:r>
        <w:rPr>
          <w:b/>
        </w:rPr>
        <w:t>Collaborazione effettiva:</w:t>
      </w:r>
      <w:r>
        <w:t xml:space="preserve"> la collaborazione tra almeno due parti indipendenti finalizzata allo scambio di conoscenze o di tecnologie, o al conseguimento di un obiettivo comune basato sulla divisione del lavoro, nella quale le parti definiscono di comune accordo la portata del progetto di collaborazione, contribuiscono </w:t>
      </w:r>
    </w:p>
    <w:p w14:paraId="5B4A4238" w14:textId="77777777" w:rsidR="006A2180" w:rsidRDefault="00000000">
      <w:pPr>
        <w:jc w:val="both"/>
        <w:rPr>
          <w:highlight w:val="white"/>
        </w:rPr>
      </w:pPr>
      <w:r>
        <w:rPr>
          <w:highlight w:val="white"/>
        </w:rPr>
        <w:t>alla sua attuazione e ne condividono i rischi e i risultati. Una o più parti possono sostenere per intero i costi del progetto e quindi sollevare le altre parti dai relativi rischi finanziari. La ricerca contrattuale e la prestazione di servizi di ricerca non sono considerate forme di collaborazione ai fini della definizione del partenariato.</w:t>
      </w:r>
    </w:p>
    <w:p w14:paraId="4ADB3DE1" w14:textId="77777777" w:rsidR="006A2180" w:rsidRDefault="00000000">
      <w:pPr>
        <w:spacing w:before="240" w:after="240"/>
        <w:jc w:val="both"/>
      </w:pPr>
      <w:r>
        <w:rPr>
          <w:b/>
        </w:rPr>
        <w:t xml:space="preserve">Hub: </w:t>
      </w:r>
      <w:r>
        <w:t xml:space="preserve">Soggetto attuatore, responsabile dell’avvio, dell’attuazione e della gestione dei progetti dell’Innovazione. In particolare, l’art.4, comma 5, del decreto-legge 06/06/2022 n. 931, </w:t>
      </w:r>
      <w:r>
        <w:rPr>
          <w:i/>
        </w:rPr>
        <w:t>Avviso per la concessione di finanziamenti destinati ad iniziative di ricerca per tecnologie e percorsi innovativi in ambito sanitario e assistenziale</w:t>
      </w:r>
      <w:r>
        <w:t xml:space="preserve">, indica che i soggetti attuatori (Hub) rappresentano: “il referente unico per l’attuazione dell’“Iniziativa” nei confronti del MUR. Svolge le attività di gestione e di coordinamento dell’“Iniziativa”: riceve le tranche di agevolazioni concesse da destinare alla realizzazione dell’“Iniziativa”, verifica e trasmette al MUR la rendicontazione delle attività svolte dagli </w:t>
      </w:r>
      <w:proofErr w:type="spellStart"/>
      <w:r>
        <w:t>Spoke</w:t>
      </w:r>
      <w:proofErr w:type="spellEnd"/>
      <w:r>
        <w:t xml:space="preserve"> e loro affiliati.”.</w:t>
      </w:r>
    </w:p>
    <w:p w14:paraId="57E1AAEB" w14:textId="77777777" w:rsidR="006A2180" w:rsidRDefault="00000000">
      <w:pPr>
        <w:jc w:val="both"/>
      </w:pPr>
      <w:proofErr w:type="spellStart"/>
      <w:r>
        <w:rPr>
          <w:b/>
        </w:rPr>
        <w:t>Spoke</w:t>
      </w:r>
      <w:proofErr w:type="spellEnd"/>
      <w:r>
        <w:t xml:space="preserve">: Soggetto realizzatore, soggetto pubblico o operatore economico privato coinvolto nella realizzazione del Programma di R&amp;I ed individuato nel rispetto della normativa comunitaria e nazionale applicabile; esso svolge direttamente parte delle attività ad essi attribuite dal Progetto e si avvale di altri soggetti per lo svolgimento delle restanti attività: (i) i soggetti affiliati allo </w:t>
      </w:r>
      <w:proofErr w:type="spellStart"/>
      <w:r>
        <w:t>Spoke</w:t>
      </w:r>
      <w:proofErr w:type="spellEnd"/>
      <w:r>
        <w:t>, già noti (ii) soggetti terzi da individuare mediante i bandi a cascata di cui all’art. 5 del decreto-legge 06/06/2022 n. 931, Avviso per la concessione di finanziamenti destinati ad iniziative di ricerca per tecnologie e percorsi innovativi in ambito sanitario e assistenziale.</w:t>
      </w:r>
    </w:p>
    <w:p w14:paraId="0766CC78" w14:textId="77777777" w:rsidR="006A2180" w:rsidRDefault="00000000">
      <w:pPr>
        <w:jc w:val="both"/>
      </w:pPr>
      <w:r>
        <w:rPr>
          <w:b/>
        </w:rPr>
        <w:t>Intensità di aiuto:</w:t>
      </w:r>
      <w:r>
        <w:t xml:space="preserve"> importo lordo dell'aiuto espresso come percentuale dei costi ammissibili, al lordo di imposte o altri oneri.</w:t>
      </w:r>
    </w:p>
    <w:p w14:paraId="0DBEDBEF" w14:textId="77777777" w:rsidR="006A2180" w:rsidRDefault="00000000">
      <w:pPr>
        <w:jc w:val="both"/>
      </w:pPr>
      <w:r>
        <w:rPr>
          <w:b/>
        </w:rPr>
        <w:t>Avvio dei lavori:</w:t>
      </w:r>
      <w:r>
        <w:t xml:space="preserve"> la data del primo impegno giuridicamente vincolante ad ordinare attrezzature o di qualsiasi altro impegno che renda irreversibile l'investimento, a seconda di quale condizione si verifichi prima.</w:t>
      </w:r>
    </w:p>
    <w:p w14:paraId="6E08061C" w14:textId="77777777" w:rsidR="006A2180" w:rsidRDefault="006A2180">
      <w:pPr>
        <w:jc w:val="both"/>
      </w:pPr>
    </w:p>
    <w:sectPr w:rsidR="006A2180">
      <w:headerReference w:type="default" r:id="rId7"/>
      <w:footerReference w:type="default" r:id="rId8"/>
      <w:pgSz w:w="11906" w:h="16838"/>
      <w:pgMar w:top="1417" w:right="1134" w:bottom="1134" w:left="113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8885F" w14:textId="77777777" w:rsidR="0041056D" w:rsidRDefault="0041056D">
      <w:pPr>
        <w:spacing w:after="0" w:line="240" w:lineRule="auto"/>
      </w:pPr>
      <w:r>
        <w:separator/>
      </w:r>
    </w:p>
  </w:endnote>
  <w:endnote w:type="continuationSeparator" w:id="0">
    <w:p w14:paraId="09984202" w14:textId="77777777" w:rsidR="0041056D" w:rsidRDefault="004105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2E2C2" w14:textId="4ED18A12" w:rsidR="006A2180" w:rsidRDefault="00000000">
    <w:pPr>
      <w:pBdr>
        <w:top w:val="nil"/>
        <w:left w:val="nil"/>
        <w:bottom w:val="nil"/>
        <w:right w:val="nil"/>
        <w:between w:val="nil"/>
      </w:pBdr>
      <w:tabs>
        <w:tab w:val="center" w:pos="4819"/>
        <w:tab w:val="right" w:pos="9638"/>
      </w:tabs>
      <w:spacing w:after="0" w:line="240" w:lineRule="auto"/>
      <w:rPr>
        <w:color w:val="000000"/>
      </w:rPr>
    </w:pPr>
    <w:r>
      <w:rPr>
        <w:noProof/>
      </w:rPr>
      <w:drawing>
        <wp:anchor distT="0" distB="0" distL="114300" distR="114300" simplePos="0" relativeHeight="251659264" behindDoc="0" locked="0" layoutInCell="1" hidden="0" allowOverlap="1" wp14:anchorId="51BB2A49" wp14:editId="145219EC">
          <wp:simplePos x="0" y="0"/>
          <wp:positionH relativeFrom="column">
            <wp:posOffset>-8253</wp:posOffset>
          </wp:positionH>
          <wp:positionV relativeFrom="paragraph">
            <wp:posOffset>111760</wp:posOffset>
          </wp:positionV>
          <wp:extent cx="1274445" cy="975360"/>
          <wp:effectExtent l="0" t="0" r="0" b="0"/>
          <wp:wrapSquare wrapText="bothSides" distT="0" distB="0" distL="114300" distR="114300"/>
          <wp:docPr id="2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274445" cy="975360"/>
                  </a:xfrm>
                  <a:prstGeom prst="rect">
                    <a:avLst/>
                  </a:prstGeom>
                  <a:ln/>
                </pic:spPr>
              </pic:pic>
            </a:graphicData>
          </a:graphic>
        </wp:anchor>
      </w:drawing>
    </w:r>
  </w:p>
  <w:p w14:paraId="582215AD" w14:textId="77777777" w:rsidR="006A2180" w:rsidRDefault="00000000">
    <w:pPr>
      <w:pBdr>
        <w:top w:val="nil"/>
        <w:left w:val="nil"/>
        <w:bottom w:val="nil"/>
        <w:right w:val="nil"/>
        <w:between w:val="nil"/>
      </w:pBdr>
      <w:tabs>
        <w:tab w:val="center" w:pos="4819"/>
        <w:tab w:val="right" w:pos="9638"/>
      </w:tabs>
      <w:spacing w:after="0" w:line="240" w:lineRule="auto"/>
      <w:rPr>
        <w:color w:val="000000"/>
      </w:rPr>
    </w:pPr>
    <w:r>
      <w:rPr>
        <w:color w:val="000000"/>
      </w:rPr>
      <w:t xml:space="preserve">                                                                                        </w:t>
    </w:r>
  </w:p>
  <w:p w14:paraId="2EA66896" w14:textId="77777777" w:rsidR="006A2180" w:rsidRDefault="006A2180">
    <w:pPr>
      <w:pBdr>
        <w:top w:val="nil"/>
        <w:left w:val="nil"/>
        <w:bottom w:val="nil"/>
        <w:right w:val="nil"/>
        <w:between w:val="nil"/>
      </w:pBdr>
      <w:tabs>
        <w:tab w:val="center" w:pos="4819"/>
        <w:tab w:val="right" w:pos="9638"/>
      </w:tabs>
      <w:spacing w:after="0" w:line="240" w:lineRule="auto"/>
      <w:rPr>
        <w:color w:val="000000"/>
      </w:rPr>
    </w:pPr>
  </w:p>
  <w:p w14:paraId="41071B0F" w14:textId="57AAACBB" w:rsidR="006A2180" w:rsidRDefault="00000000" w:rsidP="008A3647">
    <w:pPr>
      <w:pBdr>
        <w:top w:val="nil"/>
        <w:left w:val="nil"/>
        <w:bottom w:val="nil"/>
        <w:right w:val="nil"/>
        <w:between w:val="nil"/>
      </w:pBdr>
      <w:tabs>
        <w:tab w:val="center" w:pos="4819"/>
        <w:tab w:val="right" w:pos="9638"/>
      </w:tabs>
      <w:spacing w:after="0" w:line="240" w:lineRule="auto"/>
      <w:jc w:val="right"/>
      <w:rPr>
        <w:color w:val="000000"/>
      </w:rPr>
    </w:pPr>
    <w:r>
      <w:rPr>
        <w:color w:val="000000"/>
      </w:rPr>
      <w:t xml:space="preserve">                                          </w:t>
    </w:r>
    <w:r w:rsidR="008A3647">
      <w:rPr>
        <w:noProof/>
      </w:rPr>
      <w:drawing>
        <wp:inline distT="0" distB="0" distL="0" distR="0" wp14:anchorId="49B153C1" wp14:editId="32E6FA71">
          <wp:extent cx="1238250" cy="520036"/>
          <wp:effectExtent l="0" t="0" r="0" b="0"/>
          <wp:docPr id="8" name="Immagine 7" descr="Immagine che contiene testo, Carattere, simbolo, logo&#10;&#10;Descrizione generata automaticamente">
            <a:extLst xmlns:a="http://schemas.openxmlformats.org/drawingml/2006/main">
              <a:ext uri="{FF2B5EF4-FFF2-40B4-BE49-F238E27FC236}">
                <a16:creationId xmlns:a16="http://schemas.microsoft.com/office/drawing/2014/main" id="{6B78BCAB-BA79-4282-9699-5CC319FE666C}"/>
              </a:ext>
            </a:extLst>
          </wp:docPr>
          <wp:cNvGraphicFramePr/>
          <a:graphic xmlns:a="http://schemas.openxmlformats.org/drawingml/2006/main">
            <a:graphicData uri="http://schemas.openxmlformats.org/drawingml/2006/picture">
              <pic:pic xmlns:pic="http://schemas.openxmlformats.org/drawingml/2006/picture">
                <pic:nvPicPr>
                  <pic:cNvPr id="8" name="Immagine 7" descr="Immagine che contiene testo, Carattere, simbolo, logo&#10;&#10;Descrizione generata automaticamente">
                    <a:extLst>
                      <a:ext uri="{FF2B5EF4-FFF2-40B4-BE49-F238E27FC236}">
                        <a16:creationId xmlns:a16="http://schemas.microsoft.com/office/drawing/2014/main" id="{6B78BCAB-BA79-4282-9699-5CC319FE666C}"/>
                      </a:ext>
                    </a:extLst>
                  </pic:cNvPr>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72431" cy="576389"/>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181446" w14:textId="77777777" w:rsidR="0041056D" w:rsidRDefault="0041056D">
      <w:pPr>
        <w:spacing w:after="0" w:line="240" w:lineRule="auto"/>
      </w:pPr>
      <w:r>
        <w:separator/>
      </w:r>
    </w:p>
  </w:footnote>
  <w:footnote w:type="continuationSeparator" w:id="0">
    <w:p w14:paraId="12801134" w14:textId="77777777" w:rsidR="0041056D" w:rsidRDefault="004105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01B57" w14:textId="77777777" w:rsidR="006A2180" w:rsidRDefault="00000000">
    <w:pPr>
      <w:pBdr>
        <w:top w:val="nil"/>
        <w:left w:val="nil"/>
        <w:bottom w:val="nil"/>
        <w:right w:val="nil"/>
        <w:between w:val="nil"/>
      </w:pBdr>
      <w:tabs>
        <w:tab w:val="center" w:pos="4819"/>
        <w:tab w:val="right" w:pos="9638"/>
      </w:tabs>
      <w:spacing w:after="0" w:line="240" w:lineRule="auto"/>
      <w:rPr>
        <w:color w:val="000000"/>
      </w:rPr>
    </w:pPr>
    <w:r>
      <w:rPr>
        <w:noProof/>
      </w:rPr>
      <w:drawing>
        <wp:anchor distT="0" distB="0" distL="114300" distR="114300" simplePos="0" relativeHeight="251658240" behindDoc="0" locked="0" layoutInCell="1" hidden="0" allowOverlap="1" wp14:anchorId="4770DDD0" wp14:editId="4FFA55D2">
          <wp:simplePos x="0" y="0"/>
          <wp:positionH relativeFrom="column">
            <wp:posOffset>-457199</wp:posOffset>
          </wp:positionH>
          <wp:positionV relativeFrom="paragraph">
            <wp:posOffset>-341629</wp:posOffset>
          </wp:positionV>
          <wp:extent cx="6953250" cy="944880"/>
          <wp:effectExtent l="0" t="0" r="0" b="0"/>
          <wp:wrapSquare wrapText="bothSides" distT="0" distB="0" distL="114300" distR="114300"/>
          <wp:docPr id="22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6953250" cy="944880"/>
                  </a:xfrm>
                  <a:prstGeom prst="rect">
                    <a:avLst/>
                  </a:prstGeom>
                  <a:ln/>
                </pic:spPr>
              </pic:pic>
            </a:graphicData>
          </a:graphic>
        </wp:anchor>
      </w:drawing>
    </w:r>
  </w:p>
  <w:p w14:paraId="40159CB7" w14:textId="77777777" w:rsidR="006A2180" w:rsidRDefault="006A2180">
    <w:pPr>
      <w:pBdr>
        <w:top w:val="nil"/>
        <w:left w:val="nil"/>
        <w:bottom w:val="nil"/>
        <w:right w:val="nil"/>
        <w:between w:val="nil"/>
      </w:pBdr>
      <w:tabs>
        <w:tab w:val="center" w:pos="4819"/>
        <w:tab w:val="right" w:pos="9638"/>
      </w:tabs>
      <w:spacing w:after="0" w:line="240" w:lineRule="auto"/>
      <w:rPr>
        <w:color w:val="000000"/>
      </w:rPr>
    </w:pPr>
  </w:p>
  <w:p w14:paraId="1829F698" w14:textId="77777777" w:rsidR="006A2180" w:rsidRDefault="006A2180">
    <w:pPr>
      <w:pBdr>
        <w:top w:val="nil"/>
        <w:left w:val="nil"/>
        <w:bottom w:val="nil"/>
        <w:right w:val="nil"/>
        <w:between w:val="nil"/>
      </w:pBdr>
      <w:tabs>
        <w:tab w:val="center" w:pos="4819"/>
        <w:tab w:val="right" w:pos="9638"/>
      </w:tabs>
      <w:spacing w:after="0" w:line="240" w:lineRule="auto"/>
      <w:rPr>
        <w:color w:val="000000"/>
      </w:rPr>
    </w:pPr>
  </w:p>
  <w:p w14:paraId="1CE5DE17" w14:textId="77777777" w:rsidR="006A2180" w:rsidRDefault="006A2180">
    <w:pPr>
      <w:pBdr>
        <w:top w:val="nil"/>
        <w:left w:val="nil"/>
        <w:bottom w:val="nil"/>
        <w:right w:val="nil"/>
        <w:between w:val="nil"/>
      </w:pBdr>
      <w:tabs>
        <w:tab w:val="center" w:pos="4819"/>
        <w:tab w:val="right" w:pos="9638"/>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180"/>
    <w:rsid w:val="0041056D"/>
    <w:rsid w:val="006A2180"/>
    <w:rsid w:val="008A364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4381AF98"/>
  <w15:docId w15:val="{3598591B-3492-824E-8325-76B914C02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link w:val="Titolo2Carattere"/>
    <w:uiPriority w:val="9"/>
    <w:semiHidden/>
    <w:unhideWhenUsed/>
    <w:qFormat/>
    <w:rsid w:val="00E500BB"/>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character" w:customStyle="1" w:styleId="Titolo2Carattere">
    <w:name w:val="Titolo 2 Carattere"/>
    <w:basedOn w:val="Carpredefinitoparagrafo"/>
    <w:link w:val="Titolo2"/>
    <w:uiPriority w:val="9"/>
    <w:rsid w:val="00E500BB"/>
    <w:rPr>
      <w:rFonts w:asciiTheme="majorHAnsi" w:eastAsiaTheme="majorEastAsia" w:hAnsiTheme="majorHAnsi" w:cstheme="majorBidi"/>
      <w:color w:val="365F91" w:themeColor="accent1" w:themeShade="BF"/>
      <w:sz w:val="26"/>
      <w:szCs w:val="26"/>
      <w:lang w:eastAsia="it-IT"/>
    </w:rPr>
  </w:style>
  <w:style w:type="paragraph" w:styleId="Sottotitolo">
    <w:name w:val="Subtitle"/>
    <w:basedOn w:val="Normale"/>
    <w:next w:val="Normal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Intestazione">
    <w:name w:val="header"/>
    <w:basedOn w:val="Normale"/>
    <w:link w:val="IntestazioneCarattere"/>
    <w:uiPriority w:val="99"/>
    <w:unhideWhenUsed/>
    <w:rsid w:val="0097652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97652B"/>
  </w:style>
  <w:style w:type="paragraph" w:styleId="Pidipagina">
    <w:name w:val="footer"/>
    <w:basedOn w:val="Normale"/>
    <w:link w:val="PidipaginaCarattere"/>
    <w:uiPriority w:val="99"/>
    <w:unhideWhenUsed/>
    <w:rsid w:val="0097652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97652B"/>
  </w:style>
  <w:style w:type="paragraph" w:styleId="Testofumetto">
    <w:name w:val="Balloon Text"/>
    <w:basedOn w:val="Normale"/>
    <w:link w:val="TestofumettoCarattere"/>
    <w:uiPriority w:val="99"/>
    <w:semiHidden/>
    <w:unhideWhenUsed/>
    <w:rsid w:val="00C36A6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36A6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m5ZxgzL4Rj7QV+NLjQCl6skXOjg==">CgMxLjAyCWguMzBqMHpsbDgAciExU09acUhzbm5MUVQzOUVCeEp1QzRoWGlpTGRSTmZfMVY=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1498</Words>
  <Characters>8543</Characters>
  <Application>Microsoft Office Word</Application>
  <DocSecurity>0</DocSecurity>
  <Lines>71</Lines>
  <Paragraphs>20</Paragraphs>
  <ScaleCrop>false</ScaleCrop>
  <Company/>
  <LinksUpToDate>false</LinksUpToDate>
  <CharactersWithSpaces>10021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claudia.gloazzo@unimib.it</dc:creator>
  <cp:lastModifiedBy>Dario Salvatore Maccarronello</cp:lastModifiedBy>
  <cp:revision>2</cp:revision>
  <dcterms:created xsi:type="dcterms:W3CDTF">2024-01-09T09:58:00Z</dcterms:created>
  <dcterms:modified xsi:type="dcterms:W3CDTF">2024-03-26T09:42:00Z</dcterms:modified>
</cp:coreProperties>
</file>