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9C16" w14:textId="77777777" w:rsidR="002A467C" w:rsidRPr="00F13FF1" w:rsidRDefault="002A467C" w:rsidP="002A467C">
      <w:pPr>
        <w:ind w:left="-360" w:right="126"/>
        <w:jc w:val="both"/>
        <w:rPr>
          <w:rFonts w:ascii="Titillium" w:eastAsia="Garamond" w:hAnsi="Titillium" w:cstheme="minorHAnsi"/>
          <w:b/>
          <w:bCs/>
          <w:sz w:val="18"/>
          <w:szCs w:val="18"/>
        </w:rPr>
      </w:pPr>
      <w:r w:rsidRPr="00F13FF1">
        <w:rPr>
          <w:rFonts w:ascii="Titillium" w:eastAsia="Garamond" w:hAnsi="Titillium" w:cstheme="minorHAnsi"/>
          <w:b/>
          <w:bCs/>
          <w:sz w:val="18"/>
          <w:szCs w:val="18"/>
        </w:rPr>
        <w:t xml:space="preserve">Programma PE RESTART - </w:t>
      </w:r>
      <w:proofErr w:type="spellStart"/>
      <w:r w:rsidRPr="00F13FF1">
        <w:rPr>
          <w:rFonts w:ascii="Titillium" w:eastAsia="Garamond" w:hAnsi="Titillium" w:cstheme="minorHAnsi"/>
          <w:b/>
          <w:bCs/>
          <w:sz w:val="18"/>
          <w:szCs w:val="18"/>
        </w:rPr>
        <w:t>RESearch</w:t>
      </w:r>
      <w:proofErr w:type="spellEnd"/>
      <w:r w:rsidRPr="00F13FF1">
        <w:rPr>
          <w:rFonts w:ascii="Titillium" w:eastAsia="Garamond" w:hAnsi="Titillium" w:cstheme="minorHAnsi"/>
          <w:b/>
          <w:bCs/>
          <w:sz w:val="18"/>
          <w:szCs w:val="18"/>
        </w:rPr>
        <w:t xml:space="preserve"> and Innovation on future </w:t>
      </w:r>
      <w:proofErr w:type="spellStart"/>
      <w:r w:rsidRPr="00F13FF1">
        <w:rPr>
          <w:rFonts w:ascii="Titillium" w:eastAsia="Garamond" w:hAnsi="Titillium" w:cstheme="minorHAnsi"/>
          <w:b/>
          <w:bCs/>
          <w:sz w:val="18"/>
          <w:szCs w:val="18"/>
        </w:rPr>
        <w:t>Telecommunications</w:t>
      </w:r>
      <w:proofErr w:type="spellEnd"/>
      <w:r w:rsidRPr="00F13FF1">
        <w:rPr>
          <w:rFonts w:ascii="Titillium" w:eastAsia="Garamond" w:hAnsi="Titillium" w:cstheme="minorHAnsi"/>
          <w:b/>
          <w:bCs/>
          <w:sz w:val="18"/>
          <w:szCs w:val="18"/>
        </w:rPr>
        <w:t xml:space="preserve"> systems and networks, to make </w:t>
      </w:r>
      <w:proofErr w:type="spellStart"/>
      <w:r w:rsidRPr="00F13FF1">
        <w:rPr>
          <w:rFonts w:ascii="Titillium" w:eastAsia="Garamond" w:hAnsi="Titillium" w:cstheme="minorHAnsi"/>
          <w:b/>
          <w:bCs/>
          <w:sz w:val="18"/>
          <w:szCs w:val="18"/>
        </w:rPr>
        <w:t>Italy</w:t>
      </w:r>
      <w:proofErr w:type="spellEnd"/>
      <w:r w:rsidRPr="00F13FF1">
        <w:rPr>
          <w:rFonts w:ascii="Titillium" w:eastAsia="Garamond" w:hAnsi="Titillium" w:cstheme="minorHAnsi"/>
          <w:b/>
          <w:bCs/>
          <w:sz w:val="18"/>
          <w:szCs w:val="18"/>
        </w:rPr>
        <w:t xml:space="preserve"> more </w:t>
      </w:r>
      <w:proofErr w:type="spellStart"/>
      <w:r w:rsidRPr="00F13FF1">
        <w:rPr>
          <w:rFonts w:ascii="Titillium" w:eastAsia="Garamond" w:hAnsi="Titillium" w:cstheme="minorHAnsi"/>
          <w:b/>
          <w:bCs/>
          <w:sz w:val="18"/>
          <w:szCs w:val="18"/>
        </w:rPr>
        <w:t>smART</w:t>
      </w:r>
      <w:proofErr w:type="spellEnd"/>
      <w:r w:rsidRPr="00F13FF1">
        <w:rPr>
          <w:rFonts w:ascii="Titillium" w:eastAsia="Garamond" w:hAnsi="Titillium" w:cstheme="minorHAnsi"/>
          <w:b/>
          <w:bCs/>
          <w:sz w:val="18"/>
          <w:szCs w:val="18"/>
        </w:rPr>
        <w:t xml:space="preserve"> (codice PE00000001 – CUP B83D22001190006) - PIANO NAZIONALE DI RIPRESA E RESILIENZA (PNRR) - MISSIONE 4 COMPONENTE 2 INVESTIMENTO 1.3 – finanziato dall’Unione europea - </w:t>
      </w:r>
      <w:proofErr w:type="spellStart"/>
      <w:r w:rsidRPr="00F13FF1">
        <w:rPr>
          <w:rFonts w:ascii="Titillium" w:eastAsia="Garamond" w:hAnsi="Titillium" w:cstheme="minorHAnsi"/>
          <w:b/>
          <w:bCs/>
          <w:sz w:val="18"/>
          <w:szCs w:val="18"/>
        </w:rPr>
        <w:t>NextGenerationEU</w:t>
      </w:r>
      <w:proofErr w:type="spellEnd"/>
      <w:r w:rsidRPr="00F13FF1">
        <w:rPr>
          <w:rFonts w:ascii="Titillium" w:eastAsia="Garamond" w:hAnsi="Titillium" w:cstheme="minorHAnsi"/>
          <w:b/>
          <w:bCs/>
          <w:sz w:val="18"/>
          <w:szCs w:val="18"/>
        </w:rPr>
        <w:t xml:space="preserve"> – Bando a Cascata verso Enti Pubblici e/o Enti Privati</w:t>
      </w:r>
    </w:p>
    <w:p w14:paraId="12E0FFB1" w14:textId="77777777" w:rsidR="002A467C" w:rsidRPr="00F13FF1" w:rsidRDefault="002A467C" w:rsidP="002A467C">
      <w:pPr>
        <w:ind w:left="-360" w:right="126"/>
        <w:jc w:val="both"/>
        <w:rPr>
          <w:rFonts w:ascii="Titillium" w:hAnsi="Titillium" w:cstheme="minorHAnsi"/>
          <w:sz w:val="18"/>
          <w:szCs w:val="18"/>
        </w:rPr>
      </w:pPr>
    </w:p>
    <w:p w14:paraId="5CBDDAFA" w14:textId="1BD09538" w:rsidR="002A467C" w:rsidRPr="00F13FF1" w:rsidRDefault="002A467C" w:rsidP="002A467C">
      <w:pPr>
        <w:pStyle w:val="Titolo"/>
        <w:ind w:left="-360" w:right="126"/>
        <w:rPr>
          <w:rFonts w:ascii="Titillium" w:hAnsi="Titillium" w:cstheme="minorHAnsi"/>
          <w:sz w:val="18"/>
          <w:szCs w:val="18"/>
        </w:rPr>
      </w:pPr>
      <w:r w:rsidRPr="00F13FF1">
        <w:rPr>
          <w:rFonts w:ascii="Titillium" w:hAnsi="Titillium" w:cstheme="minorHAnsi"/>
          <w:sz w:val="18"/>
          <w:szCs w:val="18"/>
        </w:rPr>
        <w:t xml:space="preserve">ALLEGATO </w:t>
      </w:r>
      <w:r>
        <w:rPr>
          <w:rFonts w:ascii="Titillium" w:hAnsi="Titillium" w:cstheme="minorHAnsi"/>
          <w:sz w:val="18"/>
          <w:szCs w:val="18"/>
        </w:rPr>
        <w:t>E</w:t>
      </w:r>
    </w:p>
    <w:p w14:paraId="30EA9CBE" w14:textId="5ABF8D06" w:rsidR="002A467C" w:rsidRDefault="002A467C" w:rsidP="0018746A">
      <w:pPr>
        <w:pStyle w:val="usoboll1"/>
        <w:spacing w:line="240" w:lineRule="auto"/>
        <w:ind w:left="-360" w:right="73"/>
        <w:jc w:val="center"/>
        <w:rPr>
          <w:rFonts w:ascii="Titillium" w:eastAsiaTheme="majorEastAsia" w:hAnsi="Titillium" w:cstheme="minorHAnsi"/>
          <w:b/>
          <w:spacing w:val="-10"/>
          <w:kern w:val="28"/>
          <w:sz w:val="18"/>
          <w:szCs w:val="18"/>
          <w:lang w:eastAsia="en-US"/>
        </w:rPr>
      </w:pPr>
      <w:r w:rsidRPr="002A467C">
        <w:rPr>
          <w:rFonts w:ascii="Titillium" w:eastAsiaTheme="majorEastAsia" w:hAnsi="Titillium" w:cstheme="minorHAnsi"/>
          <w:b/>
          <w:spacing w:val="-10"/>
          <w:kern w:val="28"/>
          <w:sz w:val="18"/>
          <w:szCs w:val="18"/>
          <w:lang w:eastAsia="en-US"/>
        </w:rPr>
        <w:t xml:space="preserve">IMPEGNO A SOTTOSCRIVERE, ENTRO 20 </w:t>
      </w:r>
      <w:r w:rsidR="000B116A">
        <w:rPr>
          <w:rFonts w:ascii="Titillium" w:eastAsiaTheme="majorEastAsia" w:hAnsi="Titillium" w:cstheme="minorHAnsi"/>
          <w:b/>
          <w:spacing w:val="-10"/>
          <w:kern w:val="28"/>
          <w:sz w:val="18"/>
          <w:szCs w:val="18"/>
          <w:lang w:eastAsia="en-US"/>
        </w:rPr>
        <w:t>GIORNI</w:t>
      </w:r>
      <w:r w:rsidRPr="002A467C">
        <w:rPr>
          <w:rFonts w:ascii="Titillium" w:eastAsiaTheme="majorEastAsia" w:hAnsi="Titillium" w:cstheme="minorHAnsi"/>
          <w:b/>
          <w:spacing w:val="-10"/>
          <w:kern w:val="28"/>
          <w:sz w:val="18"/>
          <w:szCs w:val="18"/>
          <w:lang w:eastAsia="en-US"/>
        </w:rPr>
        <w:t xml:space="preserve"> DALLA COMUNICAZIONE </w:t>
      </w:r>
      <w:r w:rsidR="00AF4014">
        <w:rPr>
          <w:rFonts w:ascii="Titillium" w:eastAsiaTheme="majorEastAsia" w:hAnsi="Titillium" w:cstheme="minorHAnsi"/>
          <w:b/>
          <w:spacing w:val="-10"/>
          <w:kern w:val="28"/>
          <w:sz w:val="18"/>
          <w:szCs w:val="18"/>
          <w:lang w:eastAsia="en-US"/>
        </w:rPr>
        <w:t>DEGLI ESITI DELLA</w:t>
      </w:r>
      <w:r w:rsidRPr="002A467C">
        <w:rPr>
          <w:rFonts w:ascii="Titillium" w:eastAsiaTheme="majorEastAsia" w:hAnsi="Titillium" w:cstheme="minorHAnsi"/>
          <w:b/>
          <w:spacing w:val="-10"/>
          <w:kern w:val="28"/>
          <w:sz w:val="18"/>
          <w:szCs w:val="18"/>
          <w:lang w:eastAsia="en-US"/>
        </w:rPr>
        <w:t xml:space="preserve"> </w:t>
      </w:r>
      <w:r w:rsidR="00CC5A7C" w:rsidRPr="002A467C">
        <w:rPr>
          <w:rFonts w:ascii="Titillium" w:eastAsiaTheme="majorEastAsia" w:hAnsi="Titillium" w:cstheme="minorHAnsi"/>
          <w:b/>
          <w:spacing w:val="-10"/>
          <w:kern w:val="28"/>
          <w:sz w:val="18"/>
          <w:szCs w:val="18"/>
          <w:lang w:eastAsia="en-US"/>
        </w:rPr>
        <w:t xml:space="preserve">SELEZIONE, </w:t>
      </w:r>
      <w:r w:rsidR="00CC5A7C">
        <w:rPr>
          <w:rFonts w:ascii="Titillium" w:eastAsiaTheme="majorEastAsia" w:hAnsi="Titillium" w:cstheme="minorHAnsi"/>
          <w:b/>
          <w:spacing w:val="-10"/>
          <w:kern w:val="28"/>
          <w:sz w:val="18"/>
          <w:szCs w:val="18"/>
          <w:lang w:eastAsia="en-US"/>
        </w:rPr>
        <w:t>L’ACCORDO</w:t>
      </w:r>
      <w:r w:rsidRPr="002A467C">
        <w:rPr>
          <w:rFonts w:ascii="Titillium" w:eastAsiaTheme="majorEastAsia" w:hAnsi="Titillium" w:cstheme="minorHAnsi"/>
          <w:b/>
          <w:spacing w:val="-10"/>
          <w:kern w:val="28"/>
          <w:sz w:val="18"/>
          <w:szCs w:val="18"/>
          <w:lang w:eastAsia="en-US"/>
        </w:rPr>
        <w:t xml:space="preserve"> CHE REGOLA I RAPPORTI TRA </w:t>
      </w:r>
      <w:r w:rsidR="000605BA">
        <w:rPr>
          <w:rFonts w:ascii="Titillium" w:eastAsiaTheme="majorEastAsia" w:hAnsi="Titillium" w:cstheme="minorHAnsi"/>
          <w:b/>
          <w:spacing w:val="-10"/>
          <w:kern w:val="28"/>
          <w:sz w:val="18"/>
          <w:szCs w:val="18"/>
          <w:lang w:eastAsia="en-US"/>
        </w:rPr>
        <w:t xml:space="preserve">LO SPOKE E I </w:t>
      </w:r>
      <w:r w:rsidRPr="002A467C">
        <w:rPr>
          <w:rFonts w:ascii="Titillium" w:eastAsiaTheme="majorEastAsia" w:hAnsi="Titillium" w:cstheme="minorHAnsi"/>
          <w:b/>
          <w:spacing w:val="-10"/>
          <w:kern w:val="28"/>
          <w:sz w:val="18"/>
          <w:szCs w:val="18"/>
          <w:lang w:eastAsia="en-US"/>
        </w:rPr>
        <w:t xml:space="preserve">BENEFICIARI, SECONDO IL MODELLO </w:t>
      </w:r>
      <w:r w:rsidR="000605BA">
        <w:rPr>
          <w:rFonts w:ascii="Titillium" w:eastAsiaTheme="majorEastAsia" w:hAnsi="Titillium" w:cstheme="minorHAnsi"/>
          <w:b/>
          <w:spacing w:val="-10"/>
          <w:kern w:val="28"/>
          <w:sz w:val="18"/>
          <w:szCs w:val="18"/>
          <w:lang w:eastAsia="en-US"/>
        </w:rPr>
        <w:t>ALLEGATO 1</w:t>
      </w:r>
    </w:p>
    <w:p w14:paraId="17C4E2BF" w14:textId="678092A4" w:rsidR="002A467C" w:rsidRDefault="002A467C" w:rsidP="003F13C3">
      <w:pPr>
        <w:pStyle w:val="usoboll1"/>
        <w:spacing w:line="240" w:lineRule="auto"/>
        <w:ind w:left="-360" w:right="73"/>
        <w:jc w:val="center"/>
        <w:rPr>
          <w:rFonts w:ascii="Titillium" w:hAnsi="Titillium" w:cs="Arial"/>
          <w:i/>
          <w:sz w:val="18"/>
          <w:szCs w:val="18"/>
        </w:rPr>
      </w:pPr>
      <w:r w:rsidRPr="00F13FF1">
        <w:rPr>
          <w:rFonts w:ascii="Titillium" w:hAnsi="Titillium" w:cstheme="minorHAnsi"/>
          <w:i/>
          <w:iCs/>
          <w:sz w:val="18"/>
          <w:szCs w:val="18"/>
        </w:rPr>
        <w:t xml:space="preserve">(Il presente modulo deve essere firmare digitalmente dal </w:t>
      </w:r>
      <w:r>
        <w:rPr>
          <w:rFonts w:ascii="Titillium" w:hAnsi="Titillium" w:cstheme="minorHAnsi"/>
          <w:i/>
          <w:iCs/>
          <w:sz w:val="18"/>
          <w:szCs w:val="18"/>
        </w:rPr>
        <w:t xml:space="preserve">Legale Rappresentante </w:t>
      </w:r>
      <w:r w:rsidRPr="00F13FF1">
        <w:rPr>
          <w:rFonts w:ascii="Titillium" w:hAnsi="Titillium" w:cstheme="minorHAnsi"/>
          <w:i/>
          <w:iCs/>
          <w:sz w:val="18"/>
          <w:szCs w:val="18"/>
        </w:rPr>
        <w:t>del</w:t>
      </w:r>
      <w:r>
        <w:rPr>
          <w:rFonts w:ascii="Titillium" w:hAnsi="Titillium" w:cstheme="minorHAnsi"/>
          <w:i/>
          <w:iCs/>
          <w:sz w:val="18"/>
          <w:szCs w:val="18"/>
        </w:rPr>
        <w:t xml:space="preserve"> </w:t>
      </w:r>
      <w:r w:rsidR="003F13C3">
        <w:rPr>
          <w:rFonts w:ascii="Titillium" w:hAnsi="Titillium" w:cstheme="minorHAnsi"/>
          <w:i/>
          <w:iCs/>
          <w:sz w:val="18"/>
          <w:szCs w:val="18"/>
        </w:rPr>
        <w:t>P</w:t>
      </w:r>
      <w:r>
        <w:rPr>
          <w:rFonts w:ascii="Titillium" w:hAnsi="Titillium" w:cstheme="minorHAnsi"/>
          <w:i/>
          <w:iCs/>
          <w:sz w:val="18"/>
          <w:szCs w:val="18"/>
        </w:rPr>
        <w:t>roponente</w:t>
      </w:r>
      <w:r w:rsidR="003F13C3" w:rsidRPr="003F13C3">
        <w:rPr>
          <w:rFonts w:ascii="Titillium" w:hAnsi="Titillium" w:cstheme="minorHAnsi"/>
          <w:i/>
          <w:iCs/>
          <w:sz w:val="18"/>
          <w:szCs w:val="18"/>
        </w:rPr>
        <w:t>.</w:t>
      </w:r>
      <w:r w:rsidRPr="003F13C3">
        <w:rPr>
          <w:rFonts w:ascii="Titillium" w:hAnsi="Titillium" w:cs="Arial"/>
          <w:i/>
          <w:sz w:val="18"/>
          <w:szCs w:val="18"/>
        </w:rPr>
        <w:t>)</w:t>
      </w:r>
    </w:p>
    <w:p w14:paraId="27DBC4CA" w14:textId="77777777" w:rsidR="003F13C3" w:rsidRPr="003F13C3" w:rsidRDefault="003F13C3" w:rsidP="003F13C3">
      <w:pPr>
        <w:pStyle w:val="usoboll1"/>
        <w:spacing w:line="240" w:lineRule="auto"/>
        <w:ind w:left="-360" w:right="73"/>
        <w:jc w:val="center"/>
        <w:rPr>
          <w:rFonts w:ascii="Titillium" w:hAnsi="Titillium" w:cstheme="minorHAnsi"/>
          <w:i/>
          <w:iCs/>
          <w:sz w:val="18"/>
          <w:szCs w:val="18"/>
        </w:rPr>
      </w:pPr>
    </w:p>
    <w:p w14:paraId="1EDC3BDA" w14:textId="77777777" w:rsidR="002A467C" w:rsidRPr="00F13FF1" w:rsidRDefault="002A467C" w:rsidP="002A467C">
      <w:pPr>
        <w:ind w:right="36"/>
        <w:jc w:val="both"/>
        <w:rPr>
          <w:rFonts w:ascii="Titillium" w:hAnsi="Titillium"/>
          <w:iCs/>
          <w:sz w:val="18"/>
          <w:szCs w:val="18"/>
        </w:rPr>
      </w:pPr>
    </w:p>
    <w:p w14:paraId="01F0D9F7" w14:textId="5088DBDE" w:rsidR="002A467C" w:rsidRDefault="00AA52C0" w:rsidP="00EF4DA9">
      <w:pPr>
        <w:ind w:left="-270" w:right="36"/>
        <w:jc w:val="both"/>
        <w:rPr>
          <w:rFonts w:ascii="Titillium" w:hAnsi="Titillium"/>
          <w:iCs/>
          <w:sz w:val="18"/>
          <w:szCs w:val="18"/>
        </w:rPr>
      </w:pPr>
      <w:r w:rsidRPr="00AA52C0">
        <w:rPr>
          <w:rFonts w:ascii="Titillium" w:hAnsi="Titillium"/>
          <w:iCs/>
          <w:sz w:val="18"/>
          <w:szCs w:val="18"/>
        </w:rPr>
        <w:t>Il sottoscritto</w:t>
      </w:r>
      <w:r>
        <w:rPr>
          <w:rFonts w:ascii="Titillium" w:hAnsi="Titillium"/>
          <w:iCs/>
          <w:sz w:val="18"/>
          <w:szCs w:val="18"/>
        </w:rPr>
        <w:t>________</w:t>
      </w:r>
      <w:r w:rsidRPr="00AA52C0">
        <w:rPr>
          <w:rFonts w:ascii="Titillium" w:hAnsi="Titillium"/>
          <w:iCs/>
          <w:sz w:val="18"/>
          <w:szCs w:val="18"/>
        </w:rPr>
        <w:t>, nato/a</w:t>
      </w:r>
      <w:r>
        <w:rPr>
          <w:rFonts w:ascii="Titillium" w:hAnsi="Titillium"/>
          <w:iCs/>
          <w:sz w:val="18"/>
          <w:szCs w:val="18"/>
        </w:rPr>
        <w:t>________</w:t>
      </w:r>
      <w:r w:rsidRPr="00AA52C0">
        <w:rPr>
          <w:rFonts w:ascii="Titillium" w:hAnsi="Titillium"/>
          <w:iCs/>
          <w:sz w:val="18"/>
          <w:szCs w:val="18"/>
        </w:rPr>
        <w:t>,</w:t>
      </w:r>
      <w:r>
        <w:rPr>
          <w:rFonts w:ascii="Titillium" w:hAnsi="Titillium"/>
          <w:iCs/>
          <w:sz w:val="18"/>
          <w:szCs w:val="18"/>
        </w:rPr>
        <w:t xml:space="preserve"> </w:t>
      </w:r>
      <w:r w:rsidRPr="00AA52C0">
        <w:rPr>
          <w:rFonts w:ascii="Titillium" w:hAnsi="Titillium"/>
          <w:iCs/>
          <w:sz w:val="18"/>
          <w:szCs w:val="18"/>
        </w:rPr>
        <w:t>il</w:t>
      </w:r>
      <w:r>
        <w:rPr>
          <w:rFonts w:ascii="Titillium" w:hAnsi="Titillium"/>
          <w:iCs/>
          <w:sz w:val="18"/>
          <w:szCs w:val="18"/>
        </w:rPr>
        <w:t xml:space="preserve"> __/__/____, </w:t>
      </w:r>
      <w:r w:rsidRPr="00AA52C0">
        <w:rPr>
          <w:rFonts w:ascii="Titillium" w:hAnsi="Titillium"/>
          <w:iCs/>
          <w:sz w:val="18"/>
          <w:szCs w:val="18"/>
        </w:rPr>
        <w:t xml:space="preserve">C.F. </w:t>
      </w:r>
      <w:r>
        <w:rPr>
          <w:rFonts w:ascii="Titillium" w:hAnsi="Titillium"/>
          <w:iCs/>
          <w:sz w:val="18"/>
          <w:szCs w:val="18"/>
        </w:rPr>
        <w:t>____________</w:t>
      </w:r>
      <w:r w:rsidRPr="00AA52C0">
        <w:rPr>
          <w:rFonts w:ascii="Titillium" w:hAnsi="Titillium"/>
          <w:iCs/>
          <w:sz w:val="18"/>
          <w:szCs w:val="18"/>
        </w:rPr>
        <w:t>,</w:t>
      </w:r>
      <w:r>
        <w:rPr>
          <w:rFonts w:ascii="Titillium" w:hAnsi="Titillium"/>
          <w:iCs/>
          <w:sz w:val="18"/>
          <w:szCs w:val="18"/>
        </w:rPr>
        <w:t xml:space="preserve"> </w:t>
      </w:r>
      <w:r w:rsidRPr="00AA52C0">
        <w:rPr>
          <w:rFonts w:ascii="Titillium" w:hAnsi="Titillium"/>
          <w:iCs/>
          <w:sz w:val="18"/>
          <w:szCs w:val="18"/>
        </w:rPr>
        <w:t>Legale Rappresentante di</w:t>
      </w:r>
      <w:r>
        <w:rPr>
          <w:rFonts w:ascii="Titillium" w:hAnsi="Titillium"/>
          <w:iCs/>
          <w:sz w:val="18"/>
          <w:szCs w:val="18"/>
        </w:rPr>
        <w:t>_______________</w:t>
      </w:r>
      <w:r w:rsidR="00EF4DA9">
        <w:rPr>
          <w:rFonts w:ascii="Titillium" w:hAnsi="Titillium"/>
          <w:iCs/>
          <w:sz w:val="18"/>
          <w:szCs w:val="18"/>
        </w:rPr>
        <w:t xml:space="preserve"> </w:t>
      </w:r>
      <w:r>
        <w:rPr>
          <w:rFonts w:ascii="Titillium" w:hAnsi="Titillium"/>
          <w:iCs/>
          <w:sz w:val="18"/>
          <w:szCs w:val="18"/>
        </w:rPr>
        <w:t>(</w:t>
      </w:r>
      <w:r w:rsidRPr="00AA52C0">
        <w:rPr>
          <w:rFonts w:ascii="Titillium" w:hAnsi="Titillium"/>
          <w:iCs/>
          <w:sz w:val="18"/>
          <w:szCs w:val="18"/>
        </w:rPr>
        <w:t xml:space="preserve">denominazione soggetto </w:t>
      </w:r>
      <w:r w:rsidR="00EF4DA9">
        <w:rPr>
          <w:rFonts w:ascii="Titillium" w:hAnsi="Titillium"/>
          <w:iCs/>
          <w:sz w:val="18"/>
          <w:szCs w:val="18"/>
        </w:rPr>
        <w:t>Proponente</w:t>
      </w:r>
      <w:r w:rsidRPr="00AA52C0">
        <w:rPr>
          <w:rFonts w:ascii="Titillium" w:hAnsi="Titillium"/>
          <w:iCs/>
          <w:sz w:val="18"/>
          <w:szCs w:val="18"/>
        </w:rPr>
        <w:t>), Codice fiscal</w:t>
      </w:r>
      <w:r w:rsidR="00EF4DA9">
        <w:rPr>
          <w:rFonts w:ascii="Titillium" w:hAnsi="Titillium"/>
          <w:iCs/>
          <w:sz w:val="18"/>
          <w:szCs w:val="18"/>
        </w:rPr>
        <w:t>e_________</w:t>
      </w:r>
      <w:r w:rsidRPr="00AA52C0">
        <w:rPr>
          <w:rFonts w:ascii="Titillium" w:hAnsi="Titillium"/>
          <w:iCs/>
          <w:sz w:val="18"/>
          <w:szCs w:val="18"/>
        </w:rPr>
        <w:t>_, Partita IVA</w:t>
      </w:r>
      <w:r w:rsidR="00EF4DA9">
        <w:rPr>
          <w:rFonts w:ascii="Titillium" w:hAnsi="Titillium"/>
          <w:iCs/>
          <w:sz w:val="18"/>
          <w:szCs w:val="18"/>
        </w:rPr>
        <w:t>_________</w:t>
      </w:r>
      <w:r w:rsidR="00EF4DA9" w:rsidRPr="00AA52C0">
        <w:rPr>
          <w:rFonts w:ascii="Titillium" w:hAnsi="Titillium"/>
          <w:iCs/>
          <w:sz w:val="18"/>
          <w:szCs w:val="18"/>
        </w:rPr>
        <w:t>_</w:t>
      </w:r>
      <w:r w:rsidRPr="00AA52C0">
        <w:rPr>
          <w:rFonts w:ascii="Titillium" w:hAnsi="Titillium"/>
          <w:iCs/>
          <w:sz w:val="18"/>
          <w:szCs w:val="18"/>
        </w:rPr>
        <w:t>, avente sede legale a</w:t>
      </w:r>
      <w:r w:rsidR="00EF4DA9">
        <w:rPr>
          <w:rFonts w:ascii="Titillium" w:hAnsi="Titillium"/>
          <w:iCs/>
          <w:sz w:val="18"/>
          <w:szCs w:val="18"/>
        </w:rPr>
        <w:t>_________</w:t>
      </w:r>
      <w:r w:rsidR="00EF4DA9" w:rsidRPr="00AA52C0">
        <w:rPr>
          <w:rFonts w:ascii="Titillium" w:hAnsi="Titillium"/>
          <w:iCs/>
          <w:sz w:val="18"/>
          <w:szCs w:val="18"/>
        </w:rPr>
        <w:t xml:space="preserve">_, </w:t>
      </w:r>
      <w:r w:rsidRPr="00AA52C0">
        <w:rPr>
          <w:rFonts w:ascii="Titillium" w:hAnsi="Titillium"/>
          <w:iCs/>
          <w:sz w:val="18"/>
          <w:szCs w:val="18"/>
        </w:rPr>
        <w:t>in Via/Piazza</w:t>
      </w:r>
      <w:r w:rsidR="00EF4DA9">
        <w:rPr>
          <w:rFonts w:ascii="Titillium" w:hAnsi="Titillium"/>
          <w:iCs/>
          <w:sz w:val="18"/>
          <w:szCs w:val="18"/>
        </w:rPr>
        <w:t xml:space="preserve"> _________</w:t>
      </w:r>
      <w:r w:rsidR="00EF4DA9" w:rsidRPr="00AA52C0">
        <w:rPr>
          <w:rFonts w:ascii="Titillium" w:hAnsi="Titillium"/>
          <w:iCs/>
          <w:sz w:val="18"/>
          <w:szCs w:val="18"/>
        </w:rPr>
        <w:t>_,</w:t>
      </w:r>
      <w:r w:rsidR="00EF4DA9">
        <w:rPr>
          <w:rFonts w:ascii="Titillium" w:hAnsi="Titillium"/>
          <w:iCs/>
          <w:sz w:val="18"/>
          <w:szCs w:val="18"/>
        </w:rPr>
        <w:t xml:space="preserve"> </w:t>
      </w:r>
      <w:r w:rsidRPr="00AA52C0">
        <w:rPr>
          <w:rFonts w:ascii="Titillium" w:hAnsi="Titillium"/>
          <w:iCs/>
          <w:sz w:val="18"/>
          <w:szCs w:val="18"/>
        </w:rPr>
        <w:t>n.</w:t>
      </w:r>
      <w:r w:rsidR="00EF4DA9">
        <w:rPr>
          <w:rFonts w:ascii="Titillium" w:hAnsi="Titillium"/>
          <w:iCs/>
          <w:sz w:val="18"/>
          <w:szCs w:val="18"/>
        </w:rPr>
        <w:t xml:space="preserve"> ____, </w:t>
      </w:r>
      <w:r w:rsidRPr="00AA52C0">
        <w:rPr>
          <w:rFonts w:ascii="Titillium" w:hAnsi="Titillium"/>
          <w:iCs/>
          <w:sz w:val="18"/>
          <w:szCs w:val="18"/>
        </w:rPr>
        <w:t>CAP</w:t>
      </w:r>
      <w:r w:rsidR="00EF4DA9">
        <w:rPr>
          <w:rFonts w:ascii="Titillium" w:hAnsi="Titillium"/>
          <w:iCs/>
          <w:sz w:val="18"/>
          <w:szCs w:val="18"/>
        </w:rPr>
        <w:t xml:space="preserve"> ______</w:t>
      </w:r>
      <w:r w:rsidRPr="00AA52C0">
        <w:rPr>
          <w:rFonts w:ascii="Titillium" w:hAnsi="Titillium"/>
          <w:iCs/>
          <w:sz w:val="18"/>
          <w:szCs w:val="18"/>
        </w:rPr>
        <w:t>, PEC</w:t>
      </w:r>
      <w:r w:rsidR="00EF4DA9">
        <w:rPr>
          <w:rFonts w:ascii="Titillium" w:hAnsi="Titillium"/>
          <w:iCs/>
          <w:sz w:val="18"/>
          <w:szCs w:val="18"/>
        </w:rPr>
        <w:t>_________</w:t>
      </w:r>
      <w:r w:rsidR="00EF4DA9" w:rsidRPr="00AA52C0">
        <w:rPr>
          <w:rFonts w:ascii="Titillium" w:hAnsi="Titillium"/>
          <w:iCs/>
          <w:sz w:val="18"/>
          <w:szCs w:val="18"/>
        </w:rPr>
        <w:t>_</w:t>
      </w:r>
      <w:r w:rsidRPr="00AA52C0">
        <w:rPr>
          <w:rFonts w:ascii="Titillium" w:hAnsi="Titillium"/>
          <w:iCs/>
          <w:sz w:val="18"/>
          <w:szCs w:val="18"/>
        </w:rPr>
        <w:t xml:space="preserve">, in qualità di </w:t>
      </w:r>
      <w:r w:rsidR="00EF4DA9">
        <w:rPr>
          <w:rFonts w:ascii="Titillium" w:hAnsi="Titillium"/>
          <w:iCs/>
          <w:sz w:val="18"/>
          <w:szCs w:val="18"/>
        </w:rPr>
        <w:t>Proponente del</w:t>
      </w:r>
      <w:r w:rsidR="00A80E4A">
        <w:rPr>
          <w:rFonts w:ascii="Titillium" w:hAnsi="Titillium"/>
          <w:iCs/>
          <w:sz w:val="18"/>
          <w:szCs w:val="18"/>
        </w:rPr>
        <w:t xml:space="preserve">la Proposta progettuale </w:t>
      </w:r>
      <w:r w:rsidR="00EF4DA9">
        <w:rPr>
          <w:rFonts w:ascii="Titillium" w:hAnsi="Titillium"/>
          <w:iCs/>
          <w:sz w:val="18"/>
          <w:szCs w:val="18"/>
        </w:rPr>
        <w:t xml:space="preserve">__________ per il </w:t>
      </w:r>
      <w:r w:rsidR="00EF4DA9" w:rsidRPr="007C4F91">
        <w:rPr>
          <w:rFonts w:ascii="Titillium" w:hAnsi="Titillium"/>
          <w:iCs/>
          <w:sz w:val="18"/>
          <w:szCs w:val="18"/>
        </w:rPr>
        <w:t>Bando n. __ “Bando a Cascata verso Enti Pubblici e/o Enti Privati” dello</w:t>
      </w:r>
      <w:r w:rsidRPr="007C4F91">
        <w:rPr>
          <w:rFonts w:ascii="Titillium" w:hAnsi="Titillium"/>
          <w:iCs/>
          <w:sz w:val="18"/>
          <w:szCs w:val="18"/>
        </w:rPr>
        <w:t xml:space="preserve"> </w:t>
      </w:r>
      <w:proofErr w:type="spellStart"/>
      <w:r w:rsidRPr="007C4F91">
        <w:rPr>
          <w:rFonts w:ascii="Titillium" w:hAnsi="Titillium"/>
          <w:iCs/>
          <w:sz w:val="18"/>
          <w:szCs w:val="18"/>
        </w:rPr>
        <w:t>Spoke</w:t>
      </w:r>
      <w:proofErr w:type="spellEnd"/>
      <w:r w:rsidRPr="007C4F91">
        <w:rPr>
          <w:rFonts w:ascii="Titillium" w:hAnsi="Titillium"/>
          <w:iCs/>
          <w:sz w:val="18"/>
          <w:szCs w:val="18"/>
        </w:rPr>
        <w:t xml:space="preserve"> </w:t>
      </w:r>
      <w:r w:rsidR="00BA6A95" w:rsidRPr="007C4F91">
        <w:rPr>
          <w:rFonts w:ascii="Titillium" w:hAnsi="Titillium"/>
          <w:iCs/>
          <w:sz w:val="18"/>
          <w:szCs w:val="18"/>
        </w:rPr>
        <w:t xml:space="preserve">6 Università degli Studi di Catania, </w:t>
      </w:r>
      <w:r w:rsidRPr="007C4F91">
        <w:rPr>
          <w:rFonts w:ascii="Titillium" w:hAnsi="Titillium"/>
          <w:iCs/>
          <w:sz w:val="18"/>
          <w:szCs w:val="18"/>
        </w:rPr>
        <w:t>afferente al Partenariato</w:t>
      </w:r>
      <w:r w:rsidRPr="00AA52C0">
        <w:rPr>
          <w:rFonts w:ascii="Titillium" w:hAnsi="Titillium"/>
          <w:iCs/>
          <w:sz w:val="18"/>
          <w:szCs w:val="18"/>
        </w:rPr>
        <w:t xml:space="preserve"> Esteso denominato</w:t>
      </w:r>
      <w:r w:rsidR="00EF4DA9">
        <w:rPr>
          <w:rFonts w:ascii="Titillium" w:hAnsi="Titillium"/>
          <w:iCs/>
          <w:sz w:val="18"/>
          <w:szCs w:val="18"/>
        </w:rPr>
        <w:t xml:space="preserve"> </w:t>
      </w:r>
      <w:r w:rsidRPr="00AA52C0">
        <w:rPr>
          <w:rFonts w:ascii="Titillium" w:hAnsi="Titillium"/>
          <w:iCs/>
          <w:sz w:val="18"/>
          <w:szCs w:val="18"/>
        </w:rPr>
        <w:t xml:space="preserve">RESTART </w:t>
      </w:r>
      <w:r w:rsidR="00EF4DA9">
        <w:rPr>
          <w:rFonts w:ascii="Titillium" w:hAnsi="Titillium"/>
          <w:iCs/>
          <w:sz w:val="18"/>
          <w:szCs w:val="18"/>
        </w:rPr>
        <w:t>(c</w:t>
      </w:r>
      <w:r w:rsidR="00EF4DA9" w:rsidRPr="00EF4DA9">
        <w:rPr>
          <w:rFonts w:ascii="Titillium" w:hAnsi="Titillium"/>
          <w:iCs/>
          <w:sz w:val="18"/>
          <w:szCs w:val="18"/>
        </w:rPr>
        <w:t xml:space="preserve">odice PE00000001 – CUP </w:t>
      </w:r>
      <w:r w:rsidR="00D5671D" w:rsidRPr="00EC422E">
        <w:rPr>
          <w:rFonts w:ascii="Titillium" w:hAnsi="Titillium" w:cstheme="minorHAnsi"/>
          <w:sz w:val="20"/>
          <w:szCs w:val="20"/>
        </w:rPr>
        <w:t>E63C22002070006</w:t>
      </w:r>
      <w:r w:rsidR="00EF4DA9" w:rsidRPr="00EF4DA9">
        <w:rPr>
          <w:rFonts w:ascii="Titillium" w:hAnsi="Titillium"/>
          <w:iCs/>
          <w:sz w:val="18"/>
          <w:szCs w:val="18"/>
        </w:rPr>
        <w:t xml:space="preserve">) </w:t>
      </w:r>
      <w:r w:rsidR="002A467C" w:rsidRPr="00F13FF1">
        <w:rPr>
          <w:rFonts w:ascii="Titillium" w:hAnsi="Titillium"/>
          <w:iCs/>
          <w:sz w:val="18"/>
          <w:szCs w:val="18"/>
        </w:rPr>
        <w:t>Missione 4 Componente 2 Investimento 1.</w:t>
      </w:r>
      <w:r w:rsidR="002A467C">
        <w:rPr>
          <w:rFonts w:ascii="Titillium" w:hAnsi="Titillium"/>
          <w:iCs/>
          <w:sz w:val="18"/>
          <w:szCs w:val="18"/>
        </w:rPr>
        <w:t>3</w:t>
      </w:r>
      <w:r w:rsidR="002A467C" w:rsidRPr="00F13FF1">
        <w:rPr>
          <w:rFonts w:ascii="Titillium" w:hAnsi="Titillium"/>
          <w:iCs/>
          <w:sz w:val="18"/>
          <w:szCs w:val="18"/>
        </w:rPr>
        <w:t xml:space="preserve"> del Piano Nazionale di Ripresa e Resilienza (PNRR</w:t>
      </w:r>
      <w:r w:rsidR="00235AC9">
        <w:rPr>
          <w:rFonts w:ascii="Titillium" w:hAnsi="Titillium"/>
          <w:iCs/>
          <w:sz w:val="18"/>
          <w:szCs w:val="18"/>
        </w:rPr>
        <w:t>)</w:t>
      </w:r>
    </w:p>
    <w:p w14:paraId="708A68B7" w14:textId="77777777" w:rsidR="002A467C" w:rsidRDefault="002A467C" w:rsidP="002A467C">
      <w:pPr>
        <w:ind w:left="-270" w:right="36"/>
        <w:jc w:val="both"/>
        <w:rPr>
          <w:rFonts w:ascii="Titillium" w:hAnsi="Titillium"/>
          <w:iCs/>
          <w:sz w:val="18"/>
          <w:szCs w:val="18"/>
        </w:rPr>
      </w:pPr>
    </w:p>
    <w:p w14:paraId="2D57085A" w14:textId="388E153F" w:rsidR="00681E48" w:rsidRPr="00681E48" w:rsidRDefault="00681E48" w:rsidP="00D10D3C">
      <w:pPr>
        <w:ind w:left="-270" w:right="36"/>
        <w:jc w:val="center"/>
        <w:rPr>
          <w:rFonts w:ascii="Titillium" w:hAnsi="Titillium"/>
          <w:b/>
          <w:bCs/>
          <w:iCs/>
          <w:sz w:val="18"/>
          <w:szCs w:val="18"/>
        </w:rPr>
      </w:pPr>
      <w:r w:rsidRPr="00681E48">
        <w:rPr>
          <w:rFonts w:ascii="Titillium" w:hAnsi="Titillium"/>
          <w:b/>
          <w:bCs/>
          <w:iCs/>
          <w:sz w:val="18"/>
          <w:szCs w:val="18"/>
        </w:rPr>
        <w:t>CONSIDERATO CHE</w:t>
      </w:r>
    </w:p>
    <w:p w14:paraId="3605B602" w14:textId="77777777" w:rsidR="00681E48" w:rsidRDefault="00681E48" w:rsidP="002A467C">
      <w:pPr>
        <w:ind w:left="-270" w:right="36"/>
        <w:jc w:val="both"/>
        <w:rPr>
          <w:rFonts w:ascii="Titillium" w:hAnsi="Titillium"/>
          <w:iCs/>
          <w:sz w:val="18"/>
          <w:szCs w:val="18"/>
        </w:rPr>
      </w:pPr>
    </w:p>
    <w:p w14:paraId="2D7834EA" w14:textId="77777777" w:rsidR="00A80E4A" w:rsidRDefault="00681E48" w:rsidP="00FE6FB9">
      <w:pPr>
        <w:pStyle w:val="Paragrafoelenco"/>
        <w:numPr>
          <w:ilvl w:val="0"/>
          <w:numId w:val="14"/>
        </w:numPr>
        <w:ind w:right="36"/>
        <w:jc w:val="both"/>
        <w:rPr>
          <w:rFonts w:ascii="Titillium" w:hAnsi="Titillium"/>
          <w:iCs/>
          <w:sz w:val="18"/>
          <w:szCs w:val="18"/>
        </w:rPr>
      </w:pPr>
      <w:r w:rsidRPr="00235AC9">
        <w:rPr>
          <w:rFonts w:ascii="Titillium" w:hAnsi="Titillium"/>
          <w:iCs/>
          <w:sz w:val="18"/>
          <w:szCs w:val="18"/>
        </w:rPr>
        <w:t xml:space="preserve">la </w:t>
      </w:r>
      <w:r w:rsidR="00A80E4A">
        <w:rPr>
          <w:rFonts w:ascii="Titillium" w:hAnsi="Titillium"/>
          <w:iCs/>
          <w:sz w:val="18"/>
          <w:szCs w:val="18"/>
        </w:rPr>
        <w:t>P</w:t>
      </w:r>
      <w:r w:rsidRPr="00235AC9">
        <w:rPr>
          <w:rFonts w:ascii="Titillium" w:hAnsi="Titillium"/>
          <w:iCs/>
          <w:sz w:val="18"/>
          <w:szCs w:val="18"/>
        </w:rPr>
        <w:t xml:space="preserve">roposta progettuale deve essere finalizzata alla </w:t>
      </w:r>
      <w:r w:rsidR="00A80E4A">
        <w:rPr>
          <w:rFonts w:ascii="Titillium" w:hAnsi="Titillium"/>
          <w:iCs/>
          <w:sz w:val="18"/>
          <w:szCs w:val="18"/>
        </w:rPr>
        <w:t>realizzazione degli interventi del Programma RESTART</w:t>
      </w:r>
      <w:r w:rsidRPr="00235AC9">
        <w:rPr>
          <w:rFonts w:ascii="Titillium" w:hAnsi="Titillium"/>
          <w:iCs/>
          <w:sz w:val="18"/>
          <w:szCs w:val="18"/>
        </w:rPr>
        <w:t>;</w:t>
      </w:r>
    </w:p>
    <w:p w14:paraId="2A247B5B" w14:textId="312B96C5" w:rsidR="00681E48" w:rsidRPr="00A80E4A" w:rsidRDefault="00A80E4A" w:rsidP="00FE6FB9">
      <w:pPr>
        <w:pStyle w:val="Paragrafoelenco"/>
        <w:numPr>
          <w:ilvl w:val="0"/>
          <w:numId w:val="14"/>
        </w:numPr>
        <w:ind w:right="36"/>
        <w:jc w:val="both"/>
        <w:rPr>
          <w:rFonts w:ascii="Titillium" w:hAnsi="Titillium"/>
          <w:iCs/>
          <w:sz w:val="18"/>
          <w:szCs w:val="18"/>
        </w:rPr>
      </w:pPr>
      <w:r w:rsidRPr="00A80E4A">
        <w:rPr>
          <w:rFonts w:ascii="Titillium" w:hAnsi="Titillium"/>
          <w:iCs/>
          <w:sz w:val="18"/>
          <w:szCs w:val="18"/>
        </w:rPr>
        <w:t>la Fondazione RESTART</w:t>
      </w:r>
      <w:r w:rsidR="00681E48" w:rsidRPr="00A80E4A">
        <w:rPr>
          <w:rFonts w:ascii="Titillium" w:hAnsi="Titillium"/>
          <w:iCs/>
          <w:sz w:val="18"/>
          <w:szCs w:val="18"/>
        </w:rPr>
        <w:t xml:space="preserve"> è il soggetto attuatore</w:t>
      </w:r>
      <w:r w:rsidRPr="00A80E4A">
        <w:rPr>
          <w:rFonts w:ascii="Titillium" w:hAnsi="Titillium"/>
          <w:iCs/>
          <w:sz w:val="18"/>
          <w:szCs w:val="18"/>
        </w:rPr>
        <w:t xml:space="preserve"> (</w:t>
      </w:r>
      <w:r w:rsidR="00FF418E">
        <w:rPr>
          <w:rFonts w:ascii="Titillium" w:hAnsi="Titillium"/>
          <w:iCs/>
          <w:sz w:val="18"/>
          <w:szCs w:val="18"/>
        </w:rPr>
        <w:t>Hub</w:t>
      </w:r>
      <w:r w:rsidRPr="00A80E4A">
        <w:rPr>
          <w:rFonts w:ascii="Titillium" w:hAnsi="Titillium"/>
          <w:iCs/>
          <w:sz w:val="18"/>
          <w:szCs w:val="18"/>
        </w:rPr>
        <w:t>)</w:t>
      </w:r>
    </w:p>
    <w:p w14:paraId="4AB2AB06" w14:textId="4141A032" w:rsidR="00681E48" w:rsidRPr="00A80E4A" w:rsidRDefault="00A80E4A" w:rsidP="00FE6FB9">
      <w:pPr>
        <w:pStyle w:val="Paragrafoelenco"/>
        <w:numPr>
          <w:ilvl w:val="0"/>
          <w:numId w:val="14"/>
        </w:numPr>
        <w:ind w:right="36"/>
        <w:jc w:val="both"/>
        <w:rPr>
          <w:rFonts w:ascii="Titillium" w:hAnsi="Titillium"/>
          <w:iCs/>
          <w:sz w:val="18"/>
          <w:szCs w:val="18"/>
        </w:rPr>
      </w:pPr>
      <w:r>
        <w:rPr>
          <w:rFonts w:ascii="Titillium" w:hAnsi="Titillium"/>
          <w:iCs/>
          <w:sz w:val="18"/>
          <w:szCs w:val="18"/>
        </w:rPr>
        <w:t xml:space="preserve">l’Ente </w:t>
      </w:r>
      <w:r w:rsidR="007C4F91" w:rsidRPr="007C4F91">
        <w:rPr>
          <w:rFonts w:ascii="Titillium" w:hAnsi="Titillium"/>
          <w:iCs/>
          <w:sz w:val="18"/>
          <w:szCs w:val="18"/>
        </w:rPr>
        <w:t>Università degli Studi di Catania</w:t>
      </w:r>
      <w:r w:rsidR="007C4F91">
        <w:rPr>
          <w:rFonts w:ascii="Titillium" w:hAnsi="Titillium"/>
          <w:iCs/>
          <w:sz w:val="18"/>
          <w:szCs w:val="18"/>
        </w:rPr>
        <w:t xml:space="preserve"> </w:t>
      </w:r>
      <w:r>
        <w:rPr>
          <w:rFonts w:ascii="Titillium" w:hAnsi="Titillium"/>
          <w:iCs/>
          <w:sz w:val="18"/>
          <w:szCs w:val="18"/>
        </w:rPr>
        <w:t xml:space="preserve">è </w:t>
      </w:r>
      <w:r w:rsidR="003F13C3">
        <w:rPr>
          <w:rFonts w:ascii="Titillium" w:hAnsi="Titillium"/>
          <w:iCs/>
          <w:sz w:val="18"/>
          <w:szCs w:val="18"/>
        </w:rPr>
        <w:t>il</w:t>
      </w:r>
      <w:r>
        <w:rPr>
          <w:rFonts w:ascii="Titillium" w:hAnsi="Titillium"/>
          <w:iCs/>
          <w:sz w:val="18"/>
          <w:szCs w:val="18"/>
        </w:rPr>
        <w:t xml:space="preserve"> soggetto realizzatore (</w:t>
      </w:r>
      <w:proofErr w:type="spellStart"/>
      <w:r>
        <w:rPr>
          <w:rFonts w:ascii="Titillium" w:hAnsi="Titillium"/>
          <w:iCs/>
          <w:sz w:val="18"/>
          <w:szCs w:val="18"/>
        </w:rPr>
        <w:t>Spoke</w:t>
      </w:r>
      <w:proofErr w:type="spellEnd"/>
      <w:r w:rsidR="007C4F91">
        <w:rPr>
          <w:rFonts w:ascii="Titillium" w:hAnsi="Titillium"/>
          <w:iCs/>
          <w:sz w:val="18"/>
          <w:szCs w:val="18"/>
        </w:rPr>
        <w:t xml:space="preserve"> 6</w:t>
      </w:r>
      <w:r>
        <w:rPr>
          <w:rFonts w:ascii="Titillium" w:hAnsi="Titillium"/>
          <w:iCs/>
          <w:sz w:val="18"/>
          <w:szCs w:val="18"/>
        </w:rPr>
        <w:t>)</w:t>
      </w:r>
      <w:r w:rsidR="00681E48" w:rsidRPr="00A80E4A">
        <w:rPr>
          <w:rFonts w:ascii="Titillium" w:hAnsi="Titillium"/>
          <w:iCs/>
          <w:sz w:val="18"/>
          <w:szCs w:val="18"/>
        </w:rPr>
        <w:t>;</w:t>
      </w:r>
    </w:p>
    <w:p w14:paraId="2524F3D1" w14:textId="439D81EE" w:rsidR="00A80E4A" w:rsidRPr="00235AC9" w:rsidRDefault="00A80E4A" w:rsidP="00FE6FB9">
      <w:pPr>
        <w:pStyle w:val="Paragrafoelenco"/>
        <w:numPr>
          <w:ilvl w:val="0"/>
          <w:numId w:val="14"/>
        </w:numPr>
        <w:ind w:right="36"/>
        <w:jc w:val="both"/>
        <w:rPr>
          <w:rFonts w:ascii="Titillium" w:hAnsi="Titillium"/>
          <w:iCs/>
          <w:sz w:val="18"/>
          <w:szCs w:val="18"/>
        </w:rPr>
      </w:pPr>
      <w:r>
        <w:rPr>
          <w:rFonts w:ascii="Titillium" w:hAnsi="Titillium"/>
          <w:iCs/>
          <w:sz w:val="18"/>
          <w:szCs w:val="18"/>
        </w:rPr>
        <w:t>o</w:t>
      </w:r>
      <w:r w:rsidRPr="00235AC9">
        <w:rPr>
          <w:rFonts w:ascii="Titillium" w:hAnsi="Titillium"/>
          <w:iCs/>
          <w:sz w:val="18"/>
          <w:szCs w:val="18"/>
        </w:rPr>
        <w:t xml:space="preserve">gni </w:t>
      </w:r>
      <w:proofErr w:type="spellStart"/>
      <w:r w:rsidRPr="00235AC9">
        <w:rPr>
          <w:rFonts w:ascii="Titillium" w:hAnsi="Titillium"/>
          <w:iCs/>
          <w:sz w:val="18"/>
          <w:szCs w:val="18"/>
        </w:rPr>
        <w:t>Spoke</w:t>
      </w:r>
      <w:proofErr w:type="spellEnd"/>
      <w:r w:rsidRPr="00235AC9">
        <w:rPr>
          <w:rFonts w:ascii="Titillium" w:hAnsi="Titillium"/>
          <w:iCs/>
          <w:sz w:val="18"/>
          <w:szCs w:val="18"/>
        </w:rPr>
        <w:t xml:space="preserve"> riceve dall’Hub le agevolazioni in ragione delle attività svolte così come previste dal Programma di Ricerca e provvede alla rendicontazione all’Hub delle spese proprie e dei soggetti aggregati sostenute per l’attività di ricerca di sua competenza;</w:t>
      </w:r>
    </w:p>
    <w:p w14:paraId="372CAA56" w14:textId="25A1F4A6" w:rsidR="00681E48" w:rsidRDefault="00A80E4A" w:rsidP="00FE6FB9">
      <w:pPr>
        <w:pStyle w:val="Paragrafoelenco"/>
        <w:numPr>
          <w:ilvl w:val="0"/>
          <w:numId w:val="14"/>
        </w:numPr>
        <w:ind w:right="36"/>
        <w:jc w:val="both"/>
        <w:rPr>
          <w:rFonts w:ascii="Titillium" w:hAnsi="Titillium"/>
          <w:iCs/>
          <w:sz w:val="18"/>
          <w:szCs w:val="18"/>
        </w:rPr>
      </w:pPr>
      <w:r>
        <w:rPr>
          <w:rFonts w:ascii="Titillium" w:hAnsi="Titillium"/>
          <w:iCs/>
          <w:sz w:val="18"/>
          <w:szCs w:val="18"/>
        </w:rPr>
        <w:t xml:space="preserve">il Beneficiario </w:t>
      </w:r>
      <w:r w:rsidR="00681E48" w:rsidRPr="00235AC9">
        <w:rPr>
          <w:rFonts w:ascii="Titillium" w:hAnsi="Titillium"/>
          <w:iCs/>
          <w:sz w:val="18"/>
          <w:szCs w:val="18"/>
        </w:rPr>
        <w:t xml:space="preserve">riceve le tranche di agevolazioni concesse, verifica e trasmette al MUR la rendicontazione delle attività svolte </w:t>
      </w:r>
      <w:r>
        <w:rPr>
          <w:rFonts w:ascii="Titillium" w:hAnsi="Titillium"/>
          <w:iCs/>
          <w:sz w:val="18"/>
          <w:szCs w:val="18"/>
        </w:rPr>
        <w:t>tramite lo</w:t>
      </w:r>
      <w:r w:rsidR="00681E48" w:rsidRPr="00235AC9">
        <w:rPr>
          <w:rFonts w:ascii="Titillium" w:hAnsi="Titillium"/>
          <w:iCs/>
          <w:sz w:val="18"/>
          <w:szCs w:val="18"/>
        </w:rPr>
        <w:t xml:space="preserve"> </w:t>
      </w:r>
      <w:proofErr w:type="spellStart"/>
      <w:r w:rsidR="00681E48" w:rsidRPr="00235AC9">
        <w:rPr>
          <w:rFonts w:ascii="Titillium" w:hAnsi="Titillium"/>
          <w:iCs/>
          <w:sz w:val="18"/>
          <w:szCs w:val="18"/>
        </w:rPr>
        <w:t>Spoke</w:t>
      </w:r>
      <w:proofErr w:type="spellEnd"/>
      <w:r>
        <w:rPr>
          <w:rFonts w:ascii="Titillium" w:hAnsi="Titillium"/>
          <w:iCs/>
          <w:sz w:val="18"/>
          <w:szCs w:val="18"/>
        </w:rPr>
        <w:t xml:space="preserve"> </w:t>
      </w:r>
      <w:r w:rsidR="001D0DB7">
        <w:rPr>
          <w:rFonts w:ascii="Titillium" w:hAnsi="Titillium"/>
          <w:iCs/>
          <w:sz w:val="18"/>
          <w:szCs w:val="18"/>
        </w:rPr>
        <w:t xml:space="preserve">6 </w:t>
      </w:r>
      <w:r w:rsidR="001D0DB7" w:rsidRPr="007C4F91">
        <w:rPr>
          <w:rFonts w:ascii="Titillium" w:hAnsi="Titillium"/>
          <w:iCs/>
          <w:sz w:val="18"/>
          <w:szCs w:val="18"/>
        </w:rPr>
        <w:t>Università degli Studi di Catania</w:t>
      </w:r>
      <w:r w:rsidR="00FF418E">
        <w:rPr>
          <w:rFonts w:ascii="Titillium" w:hAnsi="Titillium"/>
          <w:iCs/>
          <w:sz w:val="18"/>
          <w:szCs w:val="18"/>
        </w:rPr>
        <w:t xml:space="preserve"> </w:t>
      </w:r>
      <w:r>
        <w:rPr>
          <w:rFonts w:ascii="Titillium" w:hAnsi="Titillium"/>
          <w:iCs/>
          <w:sz w:val="18"/>
          <w:szCs w:val="18"/>
        </w:rPr>
        <w:t xml:space="preserve">sulla piattaforma </w:t>
      </w:r>
      <w:proofErr w:type="spellStart"/>
      <w:r>
        <w:rPr>
          <w:rFonts w:ascii="Titillium" w:hAnsi="Titillium"/>
          <w:iCs/>
          <w:sz w:val="18"/>
          <w:szCs w:val="18"/>
        </w:rPr>
        <w:t>AtWork</w:t>
      </w:r>
      <w:proofErr w:type="spellEnd"/>
      <w:r w:rsidR="00681E48" w:rsidRPr="00235AC9">
        <w:rPr>
          <w:rFonts w:ascii="Titillium" w:hAnsi="Titillium"/>
          <w:iCs/>
          <w:sz w:val="18"/>
          <w:szCs w:val="18"/>
        </w:rPr>
        <w:t>;</w:t>
      </w:r>
    </w:p>
    <w:p w14:paraId="20E48DBE" w14:textId="77777777" w:rsidR="00FF418E" w:rsidRPr="00FF418E" w:rsidRDefault="00FF418E" w:rsidP="00FF418E">
      <w:pPr>
        <w:pStyle w:val="Paragrafoelenco"/>
        <w:ind w:left="90" w:right="36"/>
        <w:jc w:val="both"/>
        <w:rPr>
          <w:rFonts w:ascii="Titillium" w:hAnsi="Titillium"/>
          <w:iCs/>
          <w:sz w:val="18"/>
          <w:szCs w:val="18"/>
        </w:rPr>
      </w:pPr>
    </w:p>
    <w:p w14:paraId="478F82E7" w14:textId="77777777" w:rsidR="00681E48" w:rsidRDefault="00681E48" w:rsidP="00D10D3C">
      <w:pPr>
        <w:ind w:left="-270" w:right="36"/>
        <w:jc w:val="center"/>
        <w:rPr>
          <w:rFonts w:ascii="Titillium" w:hAnsi="Titillium"/>
          <w:b/>
          <w:bCs/>
          <w:iCs/>
          <w:sz w:val="18"/>
          <w:szCs w:val="18"/>
        </w:rPr>
      </w:pPr>
      <w:r w:rsidRPr="00D10D3C">
        <w:rPr>
          <w:rFonts w:ascii="Titillium" w:hAnsi="Titillium"/>
          <w:b/>
          <w:bCs/>
          <w:iCs/>
          <w:sz w:val="18"/>
          <w:szCs w:val="18"/>
        </w:rPr>
        <w:t>SI IMPEGNA</w:t>
      </w:r>
    </w:p>
    <w:p w14:paraId="55CAA4BA" w14:textId="77777777" w:rsidR="00D10D3C" w:rsidRPr="00D10D3C" w:rsidRDefault="00D10D3C" w:rsidP="00D10D3C">
      <w:pPr>
        <w:ind w:left="-270" w:right="36"/>
        <w:jc w:val="center"/>
        <w:rPr>
          <w:rFonts w:ascii="Titillium" w:hAnsi="Titillium"/>
          <w:b/>
          <w:bCs/>
          <w:iCs/>
          <w:sz w:val="18"/>
          <w:szCs w:val="18"/>
        </w:rPr>
      </w:pPr>
    </w:p>
    <w:p w14:paraId="1E60F6B4" w14:textId="34DAE425" w:rsidR="00D10D3C" w:rsidRDefault="00681E48" w:rsidP="00A80E4A">
      <w:pPr>
        <w:ind w:left="-270" w:right="36"/>
        <w:rPr>
          <w:rFonts w:ascii="Titillium" w:hAnsi="Titillium"/>
          <w:iCs/>
          <w:sz w:val="18"/>
          <w:szCs w:val="18"/>
        </w:rPr>
      </w:pPr>
      <w:r w:rsidRPr="00681E48">
        <w:rPr>
          <w:rFonts w:ascii="Titillium" w:hAnsi="Titillium"/>
          <w:iCs/>
          <w:sz w:val="18"/>
          <w:szCs w:val="18"/>
        </w:rPr>
        <w:t xml:space="preserve">a </w:t>
      </w:r>
      <w:r w:rsidR="000605BA">
        <w:rPr>
          <w:rFonts w:ascii="Titillium" w:hAnsi="Titillium"/>
          <w:iCs/>
          <w:sz w:val="18"/>
          <w:szCs w:val="18"/>
        </w:rPr>
        <w:t xml:space="preserve">sottoscrivere </w:t>
      </w:r>
      <w:r w:rsidR="00CC5A7C">
        <w:rPr>
          <w:rFonts w:ascii="Titillium" w:hAnsi="Titillium"/>
          <w:iCs/>
          <w:sz w:val="18"/>
          <w:szCs w:val="18"/>
        </w:rPr>
        <w:t>l’accordo</w:t>
      </w:r>
      <w:r w:rsidR="00B61836">
        <w:rPr>
          <w:rFonts w:ascii="Titillium" w:hAnsi="Titillium"/>
          <w:iCs/>
          <w:sz w:val="18"/>
          <w:szCs w:val="18"/>
        </w:rPr>
        <w:t xml:space="preserve"> </w:t>
      </w:r>
      <w:r w:rsidR="009B1D58">
        <w:rPr>
          <w:rFonts w:ascii="Titillium" w:hAnsi="Titillium"/>
          <w:iCs/>
          <w:sz w:val="18"/>
          <w:szCs w:val="18"/>
        </w:rPr>
        <w:t xml:space="preserve">che regola i rapporti tra lo </w:t>
      </w:r>
      <w:proofErr w:type="spellStart"/>
      <w:r w:rsidR="009B1D58">
        <w:rPr>
          <w:rFonts w:ascii="Titillium" w:hAnsi="Titillium"/>
          <w:iCs/>
          <w:sz w:val="18"/>
          <w:szCs w:val="18"/>
        </w:rPr>
        <w:t>Spoke</w:t>
      </w:r>
      <w:proofErr w:type="spellEnd"/>
      <w:r w:rsidR="009B1D58">
        <w:rPr>
          <w:rFonts w:ascii="Titillium" w:hAnsi="Titillium"/>
          <w:iCs/>
          <w:sz w:val="18"/>
          <w:szCs w:val="18"/>
        </w:rPr>
        <w:t xml:space="preserve"> e i Beneficiari</w:t>
      </w:r>
      <w:r w:rsidRPr="00681E48">
        <w:rPr>
          <w:rFonts w:ascii="Titillium" w:hAnsi="Titillium"/>
          <w:iCs/>
          <w:sz w:val="18"/>
          <w:szCs w:val="18"/>
        </w:rPr>
        <w:t xml:space="preserve"> </w:t>
      </w:r>
      <w:r w:rsidR="00A80E4A">
        <w:rPr>
          <w:rFonts w:ascii="Titillium" w:hAnsi="Titillium"/>
          <w:iCs/>
          <w:sz w:val="18"/>
          <w:szCs w:val="18"/>
        </w:rPr>
        <w:t xml:space="preserve">– Allegato 1 - </w:t>
      </w:r>
      <w:r w:rsidRPr="00681E48">
        <w:rPr>
          <w:rFonts w:ascii="Titillium" w:hAnsi="Titillium"/>
          <w:iCs/>
          <w:sz w:val="18"/>
          <w:szCs w:val="18"/>
        </w:rPr>
        <w:t xml:space="preserve">entro </w:t>
      </w:r>
      <w:r w:rsidR="00235AC9">
        <w:rPr>
          <w:rFonts w:ascii="Titillium" w:hAnsi="Titillium"/>
          <w:iCs/>
          <w:sz w:val="18"/>
          <w:szCs w:val="18"/>
        </w:rPr>
        <w:t>20</w:t>
      </w:r>
      <w:r w:rsidRPr="00681E48">
        <w:rPr>
          <w:rFonts w:ascii="Titillium" w:hAnsi="Titillium"/>
          <w:iCs/>
          <w:sz w:val="18"/>
          <w:szCs w:val="18"/>
        </w:rPr>
        <w:t xml:space="preserve"> (</w:t>
      </w:r>
      <w:r w:rsidR="00235AC9">
        <w:rPr>
          <w:rFonts w:ascii="Titillium" w:hAnsi="Titillium"/>
          <w:iCs/>
          <w:sz w:val="18"/>
          <w:szCs w:val="18"/>
        </w:rPr>
        <w:t>venti</w:t>
      </w:r>
      <w:r w:rsidRPr="00681E48">
        <w:rPr>
          <w:rFonts w:ascii="Titillium" w:hAnsi="Titillium"/>
          <w:iCs/>
          <w:sz w:val="18"/>
          <w:szCs w:val="18"/>
        </w:rPr>
        <w:t xml:space="preserve">) giorni dalla conclusione della fase </w:t>
      </w:r>
      <w:r w:rsidR="009B1D58">
        <w:rPr>
          <w:rFonts w:ascii="Titillium" w:hAnsi="Titillium"/>
          <w:iCs/>
          <w:sz w:val="18"/>
          <w:szCs w:val="18"/>
        </w:rPr>
        <w:t>di selezione</w:t>
      </w:r>
      <w:r w:rsidRPr="00681E48">
        <w:rPr>
          <w:rFonts w:ascii="Titillium" w:hAnsi="Titillium"/>
          <w:iCs/>
          <w:sz w:val="18"/>
          <w:szCs w:val="18"/>
        </w:rPr>
        <w:t>.</w:t>
      </w:r>
    </w:p>
    <w:p w14:paraId="58402EB2" w14:textId="77777777" w:rsidR="00D10D3C" w:rsidRDefault="00D10D3C" w:rsidP="00D10D3C">
      <w:pPr>
        <w:ind w:left="-270" w:right="36"/>
        <w:jc w:val="both"/>
        <w:rPr>
          <w:rFonts w:ascii="Titillium" w:hAnsi="Titillium"/>
          <w:iCs/>
          <w:sz w:val="18"/>
          <w:szCs w:val="18"/>
        </w:rPr>
      </w:pPr>
    </w:p>
    <w:p w14:paraId="79D94D7F" w14:textId="63D97A54" w:rsidR="00681E48" w:rsidRPr="00681E48" w:rsidRDefault="00681E48" w:rsidP="00D10D3C">
      <w:pPr>
        <w:ind w:left="-270" w:right="36"/>
        <w:jc w:val="both"/>
        <w:rPr>
          <w:rFonts w:ascii="Titillium" w:hAnsi="Titillium"/>
          <w:iCs/>
          <w:sz w:val="18"/>
          <w:szCs w:val="18"/>
        </w:rPr>
      </w:pPr>
      <w:r w:rsidRPr="00681E48">
        <w:rPr>
          <w:rFonts w:ascii="Titillium" w:hAnsi="Titillium"/>
          <w:iCs/>
          <w:sz w:val="18"/>
          <w:szCs w:val="18"/>
        </w:rPr>
        <w:t xml:space="preserve">Dichiara, infine, di avere preso visione dell’informativa sul trattamento dei dati personali fornita nella sezione “Privacy” </w:t>
      </w:r>
      <w:hyperlink r:id="rId8" w:history="1">
        <w:r w:rsidR="00B06E18" w:rsidRPr="00241EE4">
          <w:rPr>
            <w:rStyle w:val="Collegamentoipertestuale"/>
            <w:rFonts w:ascii="Titillium" w:hAnsi="Titillium"/>
            <w:iCs/>
            <w:sz w:val="18"/>
            <w:szCs w:val="18"/>
          </w:rPr>
          <w:t>https://www.unict.it/content/privacy</w:t>
        </w:r>
      </w:hyperlink>
      <w:r w:rsidR="00B06E18">
        <w:rPr>
          <w:rFonts w:ascii="Titillium" w:hAnsi="Titillium"/>
          <w:iCs/>
          <w:sz w:val="18"/>
          <w:szCs w:val="18"/>
        </w:rPr>
        <w:t xml:space="preserve"> </w:t>
      </w:r>
      <w:r w:rsidR="00A80E4A">
        <w:rPr>
          <w:rFonts w:ascii="Titillium" w:hAnsi="Titillium"/>
          <w:iCs/>
          <w:sz w:val="18"/>
          <w:szCs w:val="18"/>
        </w:rPr>
        <w:t xml:space="preserve"> </w:t>
      </w:r>
      <w:r w:rsidRPr="00681E48">
        <w:rPr>
          <w:rFonts w:ascii="Titillium" w:hAnsi="Titillium"/>
          <w:iCs/>
          <w:sz w:val="18"/>
          <w:szCs w:val="18"/>
        </w:rPr>
        <w:t>rilasciata ai sensi dell’articolo 13 del Regolamento (UE) 679/2016.</w:t>
      </w:r>
    </w:p>
    <w:p w14:paraId="0FE67BF3" w14:textId="77777777" w:rsidR="002A467C" w:rsidRPr="00F13FF1" w:rsidRDefault="002A467C" w:rsidP="002A467C">
      <w:pPr>
        <w:ind w:left="-270" w:right="36"/>
        <w:jc w:val="both"/>
        <w:rPr>
          <w:rFonts w:ascii="Titillium" w:hAnsi="Titillium"/>
          <w:iCs/>
          <w:sz w:val="18"/>
          <w:szCs w:val="18"/>
        </w:rPr>
      </w:pPr>
    </w:p>
    <w:p w14:paraId="6D6C179B" w14:textId="77777777" w:rsidR="002A467C" w:rsidRPr="00650F62" w:rsidRDefault="002A467C" w:rsidP="002A467C">
      <w:pPr>
        <w:ind w:left="-270" w:right="36"/>
        <w:jc w:val="both"/>
        <w:rPr>
          <w:rFonts w:ascii="Titillium" w:hAnsi="Titillium"/>
          <w:iCs/>
          <w:sz w:val="18"/>
          <w:szCs w:val="18"/>
        </w:rPr>
      </w:pPr>
      <w:r w:rsidRPr="00650F62">
        <w:rPr>
          <w:rFonts w:ascii="Titillium" w:hAnsi="Titillium"/>
          <w:iCs/>
          <w:sz w:val="18"/>
          <w:szCs w:val="18"/>
        </w:rPr>
        <w:t>Luogo, data</w:t>
      </w:r>
    </w:p>
    <w:p w14:paraId="3814D075" w14:textId="07C395F8" w:rsidR="002A467C" w:rsidRDefault="002A467C" w:rsidP="00A80E4A">
      <w:pPr>
        <w:ind w:left="-270" w:right="36"/>
        <w:jc w:val="both"/>
        <w:rPr>
          <w:rFonts w:ascii="Titillium" w:hAnsi="Titillium"/>
          <w:iCs/>
          <w:sz w:val="18"/>
          <w:szCs w:val="18"/>
        </w:rPr>
      </w:pPr>
      <w:r w:rsidRPr="00650F62">
        <w:rPr>
          <w:rFonts w:ascii="Titillium" w:hAnsi="Titillium"/>
          <w:iCs/>
          <w:sz w:val="18"/>
          <w:szCs w:val="18"/>
        </w:rPr>
        <w:t xml:space="preserve">Firma del </w:t>
      </w:r>
      <w:r>
        <w:rPr>
          <w:rFonts w:ascii="Titillium" w:hAnsi="Titillium"/>
          <w:iCs/>
          <w:sz w:val="18"/>
          <w:szCs w:val="18"/>
        </w:rPr>
        <w:t xml:space="preserve">Legale Rappresentante </w:t>
      </w:r>
      <w:r w:rsidRPr="00650F62">
        <w:rPr>
          <w:rFonts w:ascii="Titillium" w:hAnsi="Titillium"/>
          <w:iCs/>
          <w:sz w:val="18"/>
          <w:szCs w:val="18"/>
        </w:rPr>
        <w:t xml:space="preserve">del </w:t>
      </w:r>
      <w:r w:rsidR="00443CB8">
        <w:rPr>
          <w:rFonts w:ascii="Titillium" w:hAnsi="Titillium"/>
          <w:iCs/>
          <w:sz w:val="18"/>
          <w:szCs w:val="18"/>
        </w:rPr>
        <w:t>Proponente</w:t>
      </w:r>
      <w:r w:rsidR="003230D0">
        <w:rPr>
          <w:rFonts w:ascii="Titillium" w:hAnsi="Titillium"/>
          <w:iCs/>
          <w:sz w:val="18"/>
          <w:szCs w:val="18"/>
        </w:rPr>
        <w:t xml:space="preserve">, </w:t>
      </w:r>
      <w:bookmarkStart w:id="0" w:name="_Hlk141380614"/>
      <w:r w:rsidR="003230D0">
        <w:rPr>
          <w:rFonts w:ascii="Titillium" w:hAnsi="Titillium" w:cstheme="minorHAnsi"/>
          <w:i/>
          <w:iCs/>
          <w:sz w:val="18"/>
          <w:szCs w:val="18"/>
        </w:rPr>
        <w:t>debitamente autorizzato dai Beneficiari alla sottoscrizione della documentazione progettuale (Allegati A, B, C, D, E).</w:t>
      </w:r>
    </w:p>
    <w:p w14:paraId="118DF053" w14:textId="77777777" w:rsidR="002A467C" w:rsidRDefault="002A467C" w:rsidP="002A467C">
      <w:pPr>
        <w:ind w:left="-270" w:right="36"/>
        <w:jc w:val="both"/>
        <w:rPr>
          <w:rFonts w:ascii="Titillium" w:hAnsi="Titillium"/>
          <w:iCs/>
          <w:sz w:val="18"/>
          <w:szCs w:val="18"/>
        </w:rPr>
      </w:pPr>
    </w:p>
    <w:bookmarkEnd w:id="0"/>
    <w:p w14:paraId="0D494F23" w14:textId="77777777" w:rsidR="002A467C" w:rsidRPr="00F13FF1" w:rsidRDefault="002A467C" w:rsidP="002A467C">
      <w:pPr>
        <w:ind w:left="-270" w:right="36"/>
        <w:jc w:val="both"/>
        <w:rPr>
          <w:rFonts w:ascii="Titillium" w:hAnsi="Titillium"/>
          <w:iCs/>
          <w:sz w:val="18"/>
          <w:szCs w:val="18"/>
        </w:rPr>
      </w:pPr>
    </w:p>
    <w:p w14:paraId="09078463" w14:textId="2FC1E7A1" w:rsidR="00D10D3C" w:rsidRDefault="00D10D3C" w:rsidP="00D10D3C">
      <w:pPr>
        <w:ind w:left="-270" w:right="36"/>
        <w:jc w:val="both"/>
        <w:rPr>
          <w:rFonts w:ascii="Titillium" w:hAnsi="Titillium"/>
          <w:i/>
          <w:iCs/>
          <w:sz w:val="18"/>
          <w:szCs w:val="18"/>
        </w:rPr>
      </w:pPr>
    </w:p>
    <w:p w14:paraId="70124B5D" w14:textId="77777777" w:rsidR="007F5CD7" w:rsidRDefault="007F5CD7" w:rsidP="00D10D3C">
      <w:pPr>
        <w:ind w:left="-270" w:right="36"/>
        <w:jc w:val="both"/>
        <w:rPr>
          <w:rFonts w:ascii="Titillium" w:hAnsi="Titillium"/>
          <w:i/>
          <w:iCs/>
          <w:sz w:val="18"/>
          <w:szCs w:val="18"/>
        </w:rPr>
      </w:pPr>
    </w:p>
    <w:p w14:paraId="2CE7D1C5" w14:textId="1FC38F65" w:rsidR="00D10D3C" w:rsidRPr="00AF4014" w:rsidRDefault="00D10D3C" w:rsidP="00D10D3C">
      <w:pPr>
        <w:ind w:left="-270" w:right="36"/>
        <w:jc w:val="both"/>
        <w:rPr>
          <w:rFonts w:ascii="Titillium" w:hAnsi="Titillium"/>
          <w:b/>
          <w:bCs/>
          <w:i/>
          <w:iCs/>
          <w:sz w:val="18"/>
          <w:szCs w:val="18"/>
        </w:rPr>
      </w:pPr>
      <w:r w:rsidRPr="00AF4014">
        <w:rPr>
          <w:rFonts w:ascii="Titillium" w:hAnsi="Titillium"/>
          <w:b/>
          <w:bCs/>
          <w:i/>
          <w:iCs/>
          <w:sz w:val="18"/>
          <w:szCs w:val="18"/>
        </w:rPr>
        <w:t>Allegato</w:t>
      </w:r>
    </w:p>
    <w:p w14:paraId="0C6A1FDA" w14:textId="7C83C850" w:rsidR="0018746A" w:rsidRPr="00D10D3C" w:rsidRDefault="00D10D3C" w:rsidP="00D10D3C">
      <w:pPr>
        <w:ind w:left="-270" w:right="36"/>
        <w:jc w:val="both"/>
        <w:rPr>
          <w:rFonts w:ascii="Titillium" w:hAnsi="Titillium"/>
          <w:i/>
          <w:iCs/>
          <w:sz w:val="18"/>
          <w:szCs w:val="18"/>
        </w:rPr>
      </w:pPr>
      <w:r>
        <w:rPr>
          <w:rFonts w:ascii="Titillium" w:hAnsi="Titillium"/>
          <w:i/>
          <w:iCs/>
          <w:sz w:val="18"/>
          <w:szCs w:val="18"/>
        </w:rPr>
        <w:t xml:space="preserve">Allegato 1 - </w:t>
      </w:r>
      <w:r w:rsidRPr="00D10D3C">
        <w:rPr>
          <w:rFonts w:ascii="Titillium" w:hAnsi="Titillium"/>
          <w:i/>
          <w:iCs/>
          <w:sz w:val="18"/>
          <w:szCs w:val="18"/>
        </w:rPr>
        <w:t xml:space="preserve">Modello di </w:t>
      </w:r>
      <w:r w:rsidR="00CC5A7C">
        <w:rPr>
          <w:rFonts w:ascii="Titillium" w:hAnsi="Titillium"/>
          <w:i/>
          <w:iCs/>
          <w:sz w:val="18"/>
          <w:szCs w:val="18"/>
        </w:rPr>
        <w:t>accordo</w:t>
      </w:r>
      <w:r w:rsidRPr="00D10D3C">
        <w:rPr>
          <w:rFonts w:ascii="Titillium" w:hAnsi="Titillium"/>
          <w:i/>
          <w:iCs/>
          <w:sz w:val="18"/>
          <w:szCs w:val="18"/>
        </w:rPr>
        <w:t xml:space="preserve"> tra </w:t>
      </w:r>
      <w:proofErr w:type="spellStart"/>
      <w:r w:rsidRPr="00D10D3C">
        <w:rPr>
          <w:rFonts w:ascii="Titillium" w:hAnsi="Titillium"/>
          <w:i/>
          <w:iCs/>
          <w:sz w:val="18"/>
          <w:szCs w:val="18"/>
        </w:rPr>
        <w:t>Spoke</w:t>
      </w:r>
      <w:proofErr w:type="spellEnd"/>
      <w:r w:rsidRPr="00D10D3C">
        <w:rPr>
          <w:rFonts w:ascii="Titillium" w:hAnsi="Titillium"/>
          <w:i/>
          <w:iCs/>
          <w:sz w:val="18"/>
          <w:szCs w:val="18"/>
        </w:rPr>
        <w:t xml:space="preserve"> e Beneficiari</w:t>
      </w:r>
      <w:r w:rsidR="0018746A">
        <w:rPr>
          <w:rFonts w:ascii="Titillium" w:hAnsi="Titillium"/>
          <w:sz w:val="18"/>
          <w:szCs w:val="18"/>
          <w:u w:val="single"/>
        </w:rPr>
        <w:br w:type="page"/>
      </w:r>
    </w:p>
    <w:p w14:paraId="1AD9CC71" w14:textId="500289B7" w:rsidR="00A76B1B" w:rsidRPr="0018746A" w:rsidRDefault="00A76B1B" w:rsidP="00A77813">
      <w:pPr>
        <w:pStyle w:val="Titolo"/>
        <w:spacing w:line="240" w:lineRule="auto"/>
        <w:ind w:left="-180"/>
        <w:rPr>
          <w:rFonts w:ascii="Titillium" w:hAnsi="Titillium"/>
          <w:sz w:val="20"/>
          <w:szCs w:val="20"/>
          <w:u w:val="single"/>
        </w:rPr>
      </w:pPr>
      <w:r w:rsidRPr="0018746A">
        <w:rPr>
          <w:rFonts w:ascii="Titillium" w:hAnsi="Titillium"/>
          <w:sz w:val="20"/>
          <w:szCs w:val="20"/>
          <w:u w:val="single"/>
        </w:rPr>
        <w:lastRenderedPageBreak/>
        <w:t>Allegato 1</w:t>
      </w:r>
    </w:p>
    <w:p w14:paraId="48B28EE6" w14:textId="5E54B706" w:rsidR="00A76B1B" w:rsidRPr="00AF4014" w:rsidRDefault="00A76B1B" w:rsidP="0018746A">
      <w:pPr>
        <w:pStyle w:val="Titolo"/>
        <w:spacing w:line="240" w:lineRule="auto"/>
        <w:ind w:left="-180"/>
        <w:rPr>
          <w:rFonts w:ascii="Titillium" w:hAnsi="Titillium"/>
          <w:b w:val="0"/>
          <w:bCs/>
          <w:sz w:val="20"/>
          <w:szCs w:val="20"/>
        </w:rPr>
      </w:pPr>
      <w:r>
        <w:rPr>
          <w:rFonts w:ascii="Titillium" w:hAnsi="Titillium"/>
          <w:sz w:val="20"/>
          <w:szCs w:val="20"/>
        </w:rPr>
        <w:t xml:space="preserve">Modello di accordo tra </w:t>
      </w:r>
      <w:proofErr w:type="spellStart"/>
      <w:r>
        <w:rPr>
          <w:rFonts w:ascii="Titillium" w:hAnsi="Titillium"/>
          <w:sz w:val="20"/>
          <w:szCs w:val="20"/>
        </w:rPr>
        <w:t>Spoke</w:t>
      </w:r>
      <w:proofErr w:type="spellEnd"/>
      <w:r>
        <w:rPr>
          <w:rFonts w:ascii="Titillium" w:hAnsi="Titillium"/>
          <w:sz w:val="20"/>
          <w:szCs w:val="20"/>
        </w:rPr>
        <w:t xml:space="preserve"> e </w:t>
      </w:r>
      <w:r w:rsidR="00F74E73">
        <w:rPr>
          <w:rFonts w:ascii="Titillium" w:hAnsi="Titillium"/>
          <w:sz w:val="20"/>
          <w:szCs w:val="20"/>
        </w:rPr>
        <w:t>B</w:t>
      </w:r>
      <w:r>
        <w:rPr>
          <w:rFonts w:ascii="Titillium" w:hAnsi="Titillium"/>
          <w:sz w:val="20"/>
          <w:szCs w:val="20"/>
        </w:rPr>
        <w:t>eneficiari</w:t>
      </w:r>
    </w:p>
    <w:p w14:paraId="763F1A36" w14:textId="1EC6B8B3" w:rsidR="00186E73" w:rsidRPr="008A762E" w:rsidRDefault="00186E73" w:rsidP="00186E73">
      <w:pPr>
        <w:spacing w:before="240"/>
        <w:ind w:left="-180"/>
        <w:jc w:val="both"/>
        <w:rPr>
          <w:rFonts w:ascii="Titillium" w:hAnsi="Titillium" w:cstheme="minorHAnsi"/>
          <w:b/>
          <w:sz w:val="20"/>
          <w:szCs w:val="20"/>
        </w:rPr>
      </w:pPr>
      <w:r w:rsidRPr="008A762E">
        <w:rPr>
          <w:rFonts w:ascii="Titillium" w:hAnsi="Titillium" w:cstheme="minorHAnsi"/>
          <w:b/>
          <w:bCs/>
          <w:sz w:val="20"/>
          <w:szCs w:val="20"/>
        </w:rPr>
        <w:t xml:space="preserve">per la regolamentazione dei rapporti tra lo </w:t>
      </w:r>
      <w:proofErr w:type="spellStart"/>
      <w:r w:rsidRPr="008A762E">
        <w:rPr>
          <w:rFonts w:ascii="Titillium" w:hAnsi="Titillium" w:cstheme="minorHAnsi"/>
          <w:b/>
          <w:bCs/>
          <w:sz w:val="20"/>
          <w:szCs w:val="20"/>
        </w:rPr>
        <w:t>Spoke</w:t>
      </w:r>
      <w:proofErr w:type="spellEnd"/>
      <w:r w:rsidRPr="008A762E">
        <w:rPr>
          <w:rFonts w:ascii="Titillium" w:hAnsi="Titillium" w:cstheme="minorHAnsi"/>
          <w:b/>
          <w:bCs/>
          <w:sz w:val="20"/>
          <w:szCs w:val="20"/>
        </w:rPr>
        <w:t xml:space="preserve"> </w:t>
      </w:r>
      <w:r w:rsidR="00B06E18">
        <w:rPr>
          <w:rFonts w:ascii="Titillium" w:hAnsi="Titillium" w:cstheme="minorHAnsi"/>
          <w:b/>
          <w:bCs/>
          <w:sz w:val="20"/>
          <w:szCs w:val="20"/>
        </w:rPr>
        <w:t xml:space="preserve">6 Università degli Studi di Catania </w:t>
      </w:r>
      <w:r w:rsidRPr="008A762E">
        <w:rPr>
          <w:rFonts w:ascii="Titillium" w:hAnsi="Titillium" w:cstheme="minorHAnsi"/>
          <w:b/>
          <w:bCs/>
          <w:sz w:val="20"/>
          <w:szCs w:val="20"/>
        </w:rPr>
        <w:t>e i Beneficiari relativi all’attuazione del Programma di ricerca PE00000001 “</w:t>
      </w:r>
      <w:proofErr w:type="spellStart"/>
      <w:r w:rsidRPr="008A762E">
        <w:rPr>
          <w:rFonts w:ascii="Titillium" w:hAnsi="Titillium" w:cstheme="minorHAnsi"/>
          <w:b/>
          <w:bCs/>
          <w:sz w:val="20"/>
          <w:szCs w:val="20"/>
        </w:rPr>
        <w:t>RESearch</w:t>
      </w:r>
      <w:proofErr w:type="spellEnd"/>
      <w:r w:rsidRPr="008A762E">
        <w:rPr>
          <w:rFonts w:ascii="Titillium" w:hAnsi="Titillium" w:cstheme="minorHAnsi"/>
          <w:b/>
          <w:bCs/>
          <w:sz w:val="20"/>
          <w:szCs w:val="20"/>
        </w:rPr>
        <w:t xml:space="preserve"> and </w:t>
      </w:r>
      <w:proofErr w:type="spellStart"/>
      <w:r w:rsidRPr="008A762E">
        <w:rPr>
          <w:rFonts w:ascii="Titillium" w:hAnsi="Titillium" w:cstheme="minorHAnsi"/>
          <w:b/>
          <w:bCs/>
          <w:sz w:val="20"/>
          <w:szCs w:val="20"/>
        </w:rPr>
        <w:t>innovation</w:t>
      </w:r>
      <w:proofErr w:type="spellEnd"/>
      <w:r w:rsidRPr="008A762E">
        <w:rPr>
          <w:rFonts w:ascii="Titillium" w:hAnsi="Titillium" w:cstheme="minorHAnsi"/>
          <w:b/>
          <w:bCs/>
          <w:sz w:val="20"/>
          <w:szCs w:val="20"/>
        </w:rPr>
        <w:t xml:space="preserve"> on future </w:t>
      </w:r>
      <w:proofErr w:type="spellStart"/>
      <w:r w:rsidRPr="008A762E">
        <w:rPr>
          <w:rFonts w:ascii="Titillium" w:hAnsi="Titillium" w:cstheme="minorHAnsi"/>
          <w:b/>
          <w:bCs/>
          <w:sz w:val="20"/>
          <w:szCs w:val="20"/>
        </w:rPr>
        <w:t>Telecommunications</w:t>
      </w:r>
      <w:proofErr w:type="spellEnd"/>
      <w:r w:rsidRPr="008A762E">
        <w:rPr>
          <w:rFonts w:ascii="Titillium" w:hAnsi="Titillium" w:cstheme="minorHAnsi"/>
          <w:b/>
          <w:bCs/>
          <w:sz w:val="20"/>
          <w:szCs w:val="20"/>
        </w:rPr>
        <w:t xml:space="preserve"> systems and networks, to make </w:t>
      </w:r>
      <w:proofErr w:type="spellStart"/>
      <w:r w:rsidRPr="008A762E">
        <w:rPr>
          <w:rFonts w:ascii="Titillium" w:hAnsi="Titillium" w:cstheme="minorHAnsi"/>
          <w:b/>
          <w:bCs/>
          <w:sz w:val="20"/>
          <w:szCs w:val="20"/>
        </w:rPr>
        <w:t>Italy</w:t>
      </w:r>
      <w:proofErr w:type="spellEnd"/>
      <w:r w:rsidRPr="008A762E">
        <w:rPr>
          <w:rFonts w:ascii="Titillium" w:hAnsi="Titillium" w:cstheme="minorHAnsi"/>
          <w:b/>
          <w:bCs/>
          <w:sz w:val="20"/>
          <w:szCs w:val="20"/>
        </w:rPr>
        <w:t xml:space="preserve"> more </w:t>
      </w:r>
      <w:proofErr w:type="spellStart"/>
      <w:r w:rsidRPr="008A762E">
        <w:rPr>
          <w:rFonts w:ascii="Titillium" w:hAnsi="Titillium" w:cstheme="minorHAnsi"/>
          <w:b/>
          <w:bCs/>
          <w:sz w:val="20"/>
          <w:szCs w:val="20"/>
        </w:rPr>
        <w:t>smART</w:t>
      </w:r>
      <w:proofErr w:type="spellEnd"/>
      <w:r w:rsidRPr="008A762E">
        <w:rPr>
          <w:rFonts w:ascii="Titillium" w:hAnsi="Titillium" w:cstheme="minorHAnsi"/>
          <w:b/>
          <w:bCs/>
          <w:sz w:val="20"/>
          <w:szCs w:val="20"/>
        </w:rPr>
        <w:t xml:space="preserve"> (RESTART)”, e alla realizzazione delle attività di ricerca ad esso sottese, finanziato dal Decreto Direttoriale di concessione del finanziamento n. 1549 del 11 ottobre 2022 a valere sulle risorse del PNRR MUR – M4C2 – Investimento 1.3 - Avviso “Partenariati estesi alle università, ai centri di ricerca, alle aziende per il finanziamento di progetti di ricerca di base” - D.D. n. 341 del 15 marzo 2022.</w:t>
      </w:r>
    </w:p>
    <w:p w14:paraId="3DF8DB4C" w14:textId="6FEFD7D1" w:rsidR="00186E73" w:rsidRDefault="00186E73" w:rsidP="00186E73">
      <w:pPr>
        <w:spacing w:before="240"/>
        <w:ind w:left="-180"/>
        <w:jc w:val="both"/>
        <w:rPr>
          <w:rFonts w:ascii="Titillium" w:hAnsi="Titillium" w:cstheme="minorHAnsi"/>
          <w:bCs/>
          <w:sz w:val="20"/>
          <w:szCs w:val="20"/>
          <w:lang w:eastAsia="it-IT"/>
        </w:rPr>
      </w:pPr>
      <w:r w:rsidRPr="008A762E">
        <w:rPr>
          <w:rFonts w:ascii="Titillium" w:hAnsi="Titillium" w:cstheme="minorHAnsi"/>
          <w:bCs/>
          <w:sz w:val="20"/>
          <w:szCs w:val="20"/>
          <w:lang w:eastAsia="it-IT"/>
        </w:rPr>
        <w:t xml:space="preserve">Lo </w:t>
      </w:r>
      <w:proofErr w:type="spellStart"/>
      <w:r w:rsidRPr="008A762E">
        <w:rPr>
          <w:rFonts w:ascii="Titillium" w:hAnsi="Titillium" w:cstheme="minorHAnsi"/>
          <w:bCs/>
          <w:sz w:val="20"/>
          <w:szCs w:val="20"/>
          <w:lang w:eastAsia="it-IT"/>
        </w:rPr>
        <w:t>Spoke</w:t>
      </w:r>
      <w:proofErr w:type="spellEnd"/>
      <w:r w:rsidRPr="008A762E">
        <w:rPr>
          <w:rFonts w:ascii="Titillium" w:hAnsi="Titillium" w:cstheme="minorHAnsi"/>
          <w:bCs/>
          <w:sz w:val="20"/>
          <w:szCs w:val="20"/>
          <w:lang w:eastAsia="it-IT"/>
        </w:rPr>
        <w:t xml:space="preserve"> </w:t>
      </w:r>
      <w:r w:rsidR="00B06E18" w:rsidRPr="00B06E18">
        <w:rPr>
          <w:rFonts w:ascii="Titillium" w:hAnsi="Titillium" w:cstheme="minorHAnsi"/>
          <w:sz w:val="20"/>
          <w:szCs w:val="20"/>
        </w:rPr>
        <w:t>6 Università degli Studi di Catania</w:t>
      </w:r>
      <w:r w:rsidR="00B06E18">
        <w:rPr>
          <w:rFonts w:ascii="Titillium" w:hAnsi="Titillium" w:cstheme="minorHAnsi"/>
          <w:b/>
          <w:bCs/>
          <w:sz w:val="20"/>
          <w:szCs w:val="20"/>
        </w:rPr>
        <w:t xml:space="preserve"> </w:t>
      </w:r>
      <w:r w:rsidRPr="008A762E">
        <w:rPr>
          <w:rFonts w:ascii="Titillium" w:hAnsi="Titillium" w:cstheme="minorHAnsi"/>
          <w:bCs/>
          <w:sz w:val="20"/>
          <w:szCs w:val="20"/>
          <w:lang w:eastAsia="it-IT"/>
        </w:rPr>
        <w:t>del Programma di ricerca “</w:t>
      </w:r>
      <w:proofErr w:type="spellStart"/>
      <w:r w:rsidRPr="008A762E">
        <w:rPr>
          <w:rFonts w:ascii="Titillium" w:hAnsi="Titillium" w:cstheme="minorHAnsi"/>
          <w:bCs/>
          <w:sz w:val="20"/>
          <w:szCs w:val="20"/>
          <w:lang w:eastAsia="it-IT"/>
        </w:rPr>
        <w:t>RESearch</w:t>
      </w:r>
      <w:proofErr w:type="spellEnd"/>
      <w:r w:rsidRPr="008A762E">
        <w:rPr>
          <w:rFonts w:ascii="Titillium" w:hAnsi="Titillium" w:cstheme="minorHAnsi"/>
          <w:bCs/>
          <w:sz w:val="20"/>
          <w:szCs w:val="20"/>
          <w:lang w:eastAsia="it-IT"/>
        </w:rPr>
        <w:t xml:space="preserve"> and </w:t>
      </w:r>
      <w:proofErr w:type="spellStart"/>
      <w:r w:rsidRPr="008A762E">
        <w:rPr>
          <w:rFonts w:ascii="Titillium" w:hAnsi="Titillium" w:cstheme="minorHAnsi"/>
          <w:bCs/>
          <w:sz w:val="20"/>
          <w:szCs w:val="20"/>
          <w:lang w:eastAsia="it-IT"/>
        </w:rPr>
        <w:t>innovation</w:t>
      </w:r>
      <w:proofErr w:type="spellEnd"/>
      <w:r w:rsidRPr="008A762E">
        <w:rPr>
          <w:rFonts w:ascii="Titillium" w:hAnsi="Titillium" w:cstheme="minorHAnsi"/>
          <w:bCs/>
          <w:sz w:val="20"/>
          <w:szCs w:val="20"/>
          <w:lang w:eastAsia="it-IT"/>
        </w:rPr>
        <w:t xml:space="preserve"> on future </w:t>
      </w:r>
      <w:proofErr w:type="spellStart"/>
      <w:r w:rsidRPr="008A762E">
        <w:rPr>
          <w:rFonts w:ascii="Titillium" w:hAnsi="Titillium" w:cstheme="minorHAnsi"/>
          <w:bCs/>
          <w:sz w:val="20"/>
          <w:szCs w:val="20"/>
          <w:lang w:eastAsia="it-IT"/>
        </w:rPr>
        <w:t>Telecommunications</w:t>
      </w:r>
      <w:proofErr w:type="spellEnd"/>
      <w:r w:rsidRPr="008A762E">
        <w:rPr>
          <w:rFonts w:ascii="Titillium" w:hAnsi="Titillium" w:cstheme="minorHAnsi"/>
          <w:bCs/>
          <w:sz w:val="20"/>
          <w:szCs w:val="20"/>
          <w:lang w:eastAsia="it-IT"/>
        </w:rPr>
        <w:t xml:space="preserve"> systems and networks, to make </w:t>
      </w:r>
      <w:proofErr w:type="spellStart"/>
      <w:r w:rsidRPr="008A762E">
        <w:rPr>
          <w:rFonts w:ascii="Titillium" w:hAnsi="Titillium" w:cstheme="minorHAnsi"/>
          <w:bCs/>
          <w:sz w:val="20"/>
          <w:szCs w:val="20"/>
          <w:lang w:eastAsia="it-IT"/>
        </w:rPr>
        <w:t>Italy</w:t>
      </w:r>
      <w:proofErr w:type="spellEnd"/>
      <w:r w:rsidRPr="008A762E">
        <w:rPr>
          <w:rFonts w:ascii="Titillium" w:hAnsi="Titillium" w:cstheme="minorHAnsi"/>
          <w:bCs/>
          <w:sz w:val="20"/>
          <w:szCs w:val="20"/>
          <w:lang w:eastAsia="it-IT"/>
        </w:rPr>
        <w:t xml:space="preserve"> more </w:t>
      </w:r>
      <w:proofErr w:type="spellStart"/>
      <w:r w:rsidRPr="008A762E">
        <w:rPr>
          <w:rFonts w:ascii="Titillium" w:hAnsi="Titillium" w:cstheme="minorHAnsi"/>
          <w:bCs/>
          <w:sz w:val="20"/>
          <w:szCs w:val="20"/>
          <w:lang w:eastAsia="it-IT"/>
        </w:rPr>
        <w:t>smART</w:t>
      </w:r>
      <w:proofErr w:type="spellEnd"/>
      <w:r w:rsidRPr="008A762E">
        <w:rPr>
          <w:rFonts w:ascii="Titillium" w:hAnsi="Titillium" w:cstheme="minorHAnsi"/>
          <w:bCs/>
          <w:sz w:val="20"/>
          <w:szCs w:val="20"/>
          <w:lang w:eastAsia="it-IT"/>
        </w:rPr>
        <w:t>” (di seguito denominato “RESTART”), Codice Fiscale</w:t>
      </w:r>
      <w:r w:rsidRPr="008A762E">
        <w:rPr>
          <w:rFonts w:ascii="Titillium" w:hAnsi="Titillium" w:cstheme="minorHAnsi"/>
          <w:sz w:val="20"/>
          <w:szCs w:val="20"/>
        </w:rPr>
        <w:t xml:space="preserve"> </w:t>
      </w:r>
      <w:r w:rsidR="00B06E18">
        <w:rPr>
          <w:rFonts w:ascii="Titillium" w:hAnsi="Titillium" w:cstheme="minorHAnsi"/>
          <w:sz w:val="20"/>
          <w:szCs w:val="20"/>
        </w:rPr>
        <w:t>02772010878</w:t>
      </w:r>
      <w:r w:rsidRPr="008A762E">
        <w:rPr>
          <w:rFonts w:ascii="Titillium" w:hAnsi="Titillium" w:cstheme="minorHAnsi"/>
          <w:bCs/>
          <w:sz w:val="20"/>
          <w:szCs w:val="20"/>
          <w:lang w:eastAsia="it-IT"/>
        </w:rPr>
        <w:t xml:space="preserve"> CUP</w:t>
      </w:r>
      <w:r w:rsidRPr="008A762E">
        <w:rPr>
          <w:rFonts w:ascii="Titillium" w:hAnsi="Titillium" w:cstheme="minorHAnsi"/>
          <w:sz w:val="20"/>
          <w:szCs w:val="20"/>
        </w:rPr>
        <w:t xml:space="preserve"> </w:t>
      </w:r>
      <w:r w:rsidR="00EC422E" w:rsidRPr="00EC422E">
        <w:rPr>
          <w:rFonts w:ascii="Titillium" w:hAnsi="Titillium" w:cstheme="minorHAnsi"/>
          <w:sz w:val="20"/>
          <w:szCs w:val="20"/>
        </w:rPr>
        <w:t>E63C22002070006</w:t>
      </w:r>
      <w:r w:rsidRPr="008A762E">
        <w:rPr>
          <w:rFonts w:ascii="Titillium" w:hAnsi="Titillium" w:cstheme="minorHAnsi"/>
          <w:sz w:val="20"/>
          <w:szCs w:val="20"/>
        </w:rPr>
        <w:t xml:space="preserve">, rappresentata dal Legale Rappresentante </w:t>
      </w:r>
      <w:r w:rsidR="00EC422E">
        <w:rPr>
          <w:rFonts w:ascii="Titillium" w:hAnsi="Titillium" w:cstheme="minorHAnsi"/>
          <w:bCs/>
          <w:sz w:val="20"/>
          <w:szCs w:val="20"/>
          <w:lang w:eastAsia="it-IT"/>
        </w:rPr>
        <w:t>Prof. Francesco Priolo</w:t>
      </w:r>
      <w:r w:rsidRPr="008A762E">
        <w:rPr>
          <w:rFonts w:ascii="Titillium" w:hAnsi="Titillium" w:cstheme="minorHAnsi"/>
          <w:bCs/>
          <w:sz w:val="20"/>
          <w:szCs w:val="20"/>
          <w:lang w:eastAsia="it-IT"/>
        </w:rPr>
        <w:t xml:space="preserve"> (di seguito “</w:t>
      </w:r>
      <w:proofErr w:type="spellStart"/>
      <w:r w:rsidRPr="008A762E">
        <w:rPr>
          <w:rFonts w:ascii="Titillium" w:hAnsi="Titillium" w:cstheme="minorHAnsi"/>
          <w:bCs/>
          <w:sz w:val="20"/>
          <w:szCs w:val="20"/>
          <w:lang w:eastAsia="it-IT"/>
        </w:rPr>
        <w:t>Spoke</w:t>
      </w:r>
      <w:proofErr w:type="spellEnd"/>
      <w:r w:rsidRPr="008A762E">
        <w:rPr>
          <w:rFonts w:ascii="Titillium" w:hAnsi="Titillium" w:cstheme="minorHAnsi"/>
          <w:bCs/>
          <w:sz w:val="20"/>
          <w:szCs w:val="20"/>
          <w:lang w:eastAsia="it-IT"/>
        </w:rPr>
        <w:t>”)</w:t>
      </w:r>
    </w:p>
    <w:p w14:paraId="78250182" w14:textId="451B28CB" w:rsidR="001845CA" w:rsidRPr="001845CA" w:rsidRDefault="001845CA" w:rsidP="00186E73">
      <w:pPr>
        <w:spacing w:before="240"/>
        <w:ind w:left="-180"/>
        <w:jc w:val="center"/>
        <w:rPr>
          <w:rFonts w:ascii="Titillium" w:hAnsi="Titillium" w:cstheme="minorHAnsi"/>
          <w:bCs/>
          <w:sz w:val="20"/>
          <w:szCs w:val="20"/>
          <w:lang w:eastAsia="it-IT"/>
        </w:rPr>
      </w:pPr>
      <w:r w:rsidRPr="001845CA">
        <w:rPr>
          <w:rFonts w:ascii="Titillium" w:hAnsi="Titillium" w:cstheme="minorHAnsi"/>
          <w:bCs/>
          <w:sz w:val="20"/>
          <w:szCs w:val="20"/>
          <w:lang w:eastAsia="it-IT"/>
        </w:rPr>
        <w:t>E</w:t>
      </w:r>
    </w:p>
    <w:p w14:paraId="06BA44C1" w14:textId="77777777" w:rsidR="00186E73" w:rsidRPr="008A762E" w:rsidRDefault="00186E73" w:rsidP="00186E73">
      <w:pPr>
        <w:spacing w:before="240"/>
        <w:ind w:left="-180"/>
        <w:jc w:val="both"/>
        <w:rPr>
          <w:rFonts w:ascii="Titillium" w:hAnsi="Titillium" w:cstheme="minorHAnsi"/>
          <w:bCs/>
          <w:sz w:val="20"/>
          <w:szCs w:val="20"/>
          <w:lang w:eastAsia="it-IT"/>
        </w:rPr>
      </w:pPr>
      <w:r w:rsidRPr="008A762E">
        <w:rPr>
          <w:rFonts w:ascii="Titillium" w:hAnsi="Titillium" w:cstheme="minorHAnsi"/>
          <w:bCs/>
          <w:sz w:val="20"/>
          <w:szCs w:val="20"/>
          <w:lang w:eastAsia="it-IT"/>
        </w:rPr>
        <w:t>Beneficiario 1 (C.F.</w:t>
      </w:r>
      <w:r w:rsidRPr="008A762E">
        <w:rPr>
          <w:rFonts w:ascii="Titillium" w:hAnsi="Titillium"/>
          <w:sz w:val="20"/>
          <w:szCs w:val="20"/>
        </w:rPr>
        <w:t xml:space="preserve"> …</w:t>
      </w:r>
      <w:r w:rsidRPr="008A762E">
        <w:rPr>
          <w:rFonts w:ascii="Titillium" w:hAnsi="Titillium" w:cstheme="minorHAnsi"/>
          <w:bCs/>
          <w:sz w:val="20"/>
          <w:szCs w:val="20"/>
          <w:lang w:eastAsia="it-IT"/>
        </w:rPr>
        <w:t>), rappresentato da …. (di seguito “……………...”)</w:t>
      </w:r>
    </w:p>
    <w:p w14:paraId="32EC5829" w14:textId="77777777" w:rsidR="00186E73" w:rsidRPr="008A762E" w:rsidRDefault="00186E73" w:rsidP="00186E73">
      <w:pPr>
        <w:spacing w:before="240"/>
        <w:ind w:left="-180"/>
        <w:jc w:val="both"/>
        <w:rPr>
          <w:rFonts w:ascii="Titillium" w:hAnsi="Titillium" w:cstheme="minorHAnsi"/>
          <w:bCs/>
          <w:sz w:val="20"/>
          <w:szCs w:val="20"/>
          <w:lang w:eastAsia="it-IT"/>
        </w:rPr>
      </w:pPr>
      <w:r w:rsidRPr="008A762E">
        <w:rPr>
          <w:rFonts w:ascii="Titillium" w:hAnsi="Titillium" w:cstheme="minorHAnsi"/>
          <w:bCs/>
          <w:sz w:val="20"/>
          <w:szCs w:val="20"/>
          <w:lang w:eastAsia="it-IT"/>
        </w:rPr>
        <w:t>Beneficiario 2 (C.F.</w:t>
      </w:r>
      <w:r w:rsidRPr="008A762E">
        <w:rPr>
          <w:rFonts w:ascii="Titillium" w:hAnsi="Titillium"/>
          <w:sz w:val="20"/>
          <w:szCs w:val="20"/>
        </w:rPr>
        <w:t xml:space="preserve"> …</w:t>
      </w:r>
      <w:r w:rsidRPr="008A762E">
        <w:rPr>
          <w:rFonts w:ascii="Titillium" w:hAnsi="Titillium" w:cstheme="minorHAnsi"/>
          <w:bCs/>
          <w:sz w:val="20"/>
          <w:szCs w:val="20"/>
          <w:lang w:eastAsia="it-IT"/>
        </w:rPr>
        <w:t>), rappresentato da …. (di seguito “……………...”)</w:t>
      </w:r>
    </w:p>
    <w:p w14:paraId="77233379" w14:textId="5B69576B" w:rsidR="00F74E73" w:rsidRDefault="00186E73" w:rsidP="00186E73">
      <w:pPr>
        <w:spacing w:before="240"/>
        <w:ind w:left="-180"/>
        <w:jc w:val="both"/>
        <w:rPr>
          <w:rFonts w:ascii="Titillium" w:hAnsi="Titillium" w:cstheme="minorHAnsi"/>
          <w:bCs/>
          <w:sz w:val="20"/>
          <w:szCs w:val="20"/>
          <w:lang w:eastAsia="it-IT"/>
        </w:rPr>
      </w:pPr>
      <w:r w:rsidRPr="008A762E">
        <w:rPr>
          <w:rFonts w:ascii="Titillium" w:hAnsi="Titillium" w:cstheme="minorHAnsi"/>
          <w:bCs/>
          <w:sz w:val="20"/>
          <w:szCs w:val="20"/>
          <w:lang w:eastAsia="it-IT"/>
        </w:rPr>
        <w:t>Beneficiario n. (C.F.</w:t>
      </w:r>
      <w:r w:rsidRPr="008A762E">
        <w:rPr>
          <w:rFonts w:ascii="Titillium" w:hAnsi="Titillium"/>
          <w:sz w:val="20"/>
          <w:szCs w:val="20"/>
        </w:rPr>
        <w:t xml:space="preserve"> …</w:t>
      </w:r>
      <w:r w:rsidRPr="008A762E">
        <w:rPr>
          <w:rFonts w:ascii="Titillium" w:hAnsi="Titillium" w:cstheme="minorHAnsi"/>
          <w:bCs/>
          <w:sz w:val="20"/>
          <w:szCs w:val="20"/>
          <w:lang w:eastAsia="it-IT"/>
        </w:rPr>
        <w:t>), rappresentato da …. (di seguito “……………...”)</w:t>
      </w:r>
    </w:p>
    <w:p w14:paraId="6BF13784" w14:textId="77C7B267" w:rsidR="001845CA" w:rsidRPr="001845CA" w:rsidRDefault="001845CA" w:rsidP="00A77813">
      <w:pPr>
        <w:pStyle w:val="Titolo1"/>
        <w:spacing w:line="240" w:lineRule="auto"/>
        <w:ind w:left="-180"/>
        <w:rPr>
          <w:rFonts w:ascii="Titillium" w:eastAsiaTheme="minorHAnsi" w:hAnsi="Titillium" w:cstheme="minorHAnsi"/>
          <w:b w:val="0"/>
          <w:bCs/>
          <w:sz w:val="20"/>
          <w:szCs w:val="20"/>
          <w:lang w:eastAsia="it-IT"/>
        </w:rPr>
      </w:pPr>
      <w:r w:rsidRPr="001845CA">
        <w:rPr>
          <w:rFonts w:ascii="Titillium" w:eastAsiaTheme="minorHAnsi" w:hAnsi="Titillium" w:cstheme="minorHAnsi"/>
          <w:b w:val="0"/>
          <w:bCs/>
          <w:sz w:val="20"/>
          <w:szCs w:val="20"/>
          <w:lang w:eastAsia="it-IT"/>
        </w:rPr>
        <w:t>(di seguito indicat</w:t>
      </w:r>
      <w:r w:rsidR="00F74E73">
        <w:rPr>
          <w:rFonts w:ascii="Titillium" w:eastAsiaTheme="minorHAnsi" w:hAnsi="Titillium" w:cstheme="minorHAnsi"/>
          <w:b w:val="0"/>
          <w:bCs/>
          <w:sz w:val="20"/>
          <w:szCs w:val="20"/>
          <w:lang w:eastAsia="it-IT"/>
        </w:rPr>
        <w:t>i</w:t>
      </w:r>
      <w:r w:rsidRPr="001845CA">
        <w:rPr>
          <w:rFonts w:ascii="Titillium" w:eastAsiaTheme="minorHAnsi" w:hAnsi="Titillium" w:cstheme="minorHAnsi"/>
          <w:b w:val="0"/>
          <w:bCs/>
          <w:sz w:val="20"/>
          <w:szCs w:val="20"/>
          <w:lang w:eastAsia="it-IT"/>
        </w:rPr>
        <w:t xml:space="preserve"> ciascun</w:t>
      </w:r>
      <w:r w:rsidR="00F74E73">
        <w:rPr>
          <w:rFonts w:ascii="Titillium" w:eastAsiaTheme="minorHAnsi" w:hAnsi="Titillium" w:cstheme="minorHAnsi"/>
          <w:b w:val="0"/>
          <w:bCs/>
          <w:sz w:val="20"/>
          <w:szCs w:val="20"/>
          <w:lang w:eastAsia="it-IT"/>
        </w:rPr>
        <w:t>o</w:t>
      </w:r>
      <w:r w:rsidRPr="001845CA">
        <w:rPr>
          <w:rFonts w:ascii="Titillium" w:eastAsiaTheme="minorHAnsi" w:hAnsi="Titillium" w:cstheme="minorHAnsi"/>
          <w:b w:val="0"/>
          <w:bCs/>
          <w:sz w:val="20"/>
          <w:szCs w:val="20"/>
          <w:lang w:eastAsia="it-IT"/>
        </w:rPr>
        <w:t xml:space="preserve"> individualmente come “Parte” e collettivamente come “Parti”)</w:t>
      </w:r>
    </w:p>
    <w:p w14:paraId="1FEBC2A2" w14:textId="77777777" w:rsidR="001845CA" w:rsidRPr="00186E73" w:rsidRDefault="001845CA" w:rsidP="00A77813">
      <w:pPr>
        <w:pStyle w:val="Titolo1"/>
        <w:spacing w:line="240" w:lineRule="auto"/>
        <w:ind w:left="-180"/>
        <w:rPr>
          <w:rFonts w:ascii="Titillium" w:hAnsi="Titillium"/>
          <w:bCs/>
          <w:sz w:val="20"/>
          <w:szCs w:val="20"/>
          <w:lang w:eastAsia="it-IT"/>
        </w:rPr>
      </w:pPr>
      <w:r w:rsidRPr="00186E73">
        <w:rPr>
          <w:rFonts w:ascii="Titillium" w:hAnsi="Titillium"/>
          <w:bCs/>
          <w:sz w:val="20"/>
          <w:szCs w:val="20"/>
          <w:lang w:eastAsia="it-IT"/>
        </w:rPr>
        <w:t>PREMESSO CHE</w:t>
      </w:r>
    </w:p>
    <w:p w14:paraId="3296881C"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il Regolamento (UE) 2021/241 del Parlamento europeo e del Consiglio del 12 febbraio 2021, pubblicato nella Gazzetta Ufficiale dell’Unione Europea L57 del 18 febbraio 2021, come integrato dal Regolamento delegato (UE) 2021/2105 della Commissione del 28 settembre 2021 e dal Regolamento delegato (UE) 2021/2106 della Commissione del 28 settembre 2021, ha istituito il dispositivo per la ripresa e la resilienza dell’Unione Europea;</w:t>
      </w:r>
    </w:p>
    <w:p w14:paraId="53F06A0B"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in data 30 aprile 2021, ai sensi dell’art. 18 del Regolamento (UE) n. 2021/241, è stato ufficialmente presentato alla Commissione Europea e valutato positivamente con Decisione del Consiglio ECOFIN del 13 luglio 2021 e notificato all’Italia dal Segretariato generale del Consiglio con nota LT161/21, del 14 luglio 2021 il Piano Nazionale di Ripresa e Resilienza (di seguito “PNRR”);</w:t>
      </w:r>
    </w:p>
    <w:p w14:paraId="492119F6"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con Decreto del Presidente del Consiglio dei ministri 9 luglio 2021 sono state individuate le amministrazioni centrali titolari di interventi previsti nel PNRR, ai sensi dell’articolo 8, comma 1, del decreto-legge 31 maggio 2021, n. 77 convertito con modificazioni dalla legge n. 108 del 2021;</w:t>
      </w:r>
    </w:p>
    <w:p w14:paraId="15EDD6C6"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con Decreto del Ministero dell’Economia e delle Finanze del 6 agosto 2021 e successiva rettifica del 23 novembre 2021, sono stata assegnate le risorse finanziarie previste per l'attuazione degli interventi del PNRR e i relativi traguardi e obiettivi;</w:t>
      </w:r>
    </w:p>
    <w:p w14:paraId="60552CB0"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ai sensi del Decreto di cui alla precedente premessa, il Ministero dell’Università e della Ricerca (di seguito, MUR) è assegnatario di risorse per l'attuazione degli interventi del PNRR nell’ambito della Missione 4 - Componente 2 “Dalla Ricerca all'Impresa” (di seguito “M4C2”), per complessivi euro 11,732 miliardi;</w:t>
      </w:r>
    </w:p>
    <w:p w14:paraId="3EA05612"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l’investimento 1.3 della M4C2 – Creazione di “Partenariati estesi alle università, ai centri di ricerca, alle aziende per il finanziamento di progetti di ricerca di base” mira a rafforzare le filiere della ricerca a livello nazionale e a promuovere la loro partecipazione alle catene di valore strategiche europee e globali.;</w:t>
      </w:r>
    </w:p>
    <w:p w14:paraId="2812CD3A"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bookmarkStart w:id="1" w:name="_Hlk116463267"/>
      <w:r w:rsidRPr="001845CA">
        <w:rPr>
          <w:rFonts w:ascii="Titillium" w:hAnsi="Titillium" w:cstheme="minorHAnsi"/>
          <w:sz w:val="20"/>
          <w:szCs w:val="20"/>
        </w:rPr>
        <w:t>le Linee Guida definite dal Ministero dell’Università e della Ricerca per le iniziative di sistema della Missione 4 Componente 2, sono state approvate con Decreto Ministeriale n. 1141 del 7 ottobre 2021, successivamente condivise con la Cabina di Regia del Piano Nazionale di Ripresa e Resilienza (PNRR) dedicata istruzione e ricerca;</w:t>
      </w:r>
    </w:p>
    <w:p w14:paraId="7457F7FE"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con Decreto Direttoriale 15 marzo 2022, n. 341 del MUR, è stato emanato un “Avviso pubblico per la presentazione di Proposte di intervento per la creazione di “Partenariati estesi alle università, ai centri di ricerca, alle aziende per il finanziamento di </w:t>
      </w:r>
      <w:r w:rsidRPr="001845CA">
        <w:rPr>
          <w:rFonts w:ascii="Titillium" w:hAnsi="Titillium" w:cstheme="minorHAnsi"/>
          <w:sz w:val="20"/>
          <w:szCs w:val="20"/>
        </w:rPr>
        <w:lastRenderedPageBreak/>
        <w:t xml:space="preserve">progetti di ricerca di base” – nell’ambito del Piano Nazionale di Ripresa e Resilienza, Missione 4 “Istruzione e ricerca” – Componente 2 “Dalla ricerca all’impresa” – Investimento 1.3, finanziato dall’Unione europea – </w:t>
      </w:r>
      <w:proofErr w:type="spellStart"/>
      <w:r w:rsidRPr="001845CA">
        <w:rPr>
          <w:rFonts w:ascii="Titillium" w:hAnsi="Titillium" w:cstheme="minorHAnsi"/>
          <w:sz w:val="20"/>
          <w:szCs w:val="20"/>
        </w:rPr>
        <w:t>NextGenerationEU</w:t>
      </w:r>
      <w:proofErr w:type="spellEnd"/>
      <w:r w:rsidRPr="001845CA">
        <w:rPr>
          <w:rFonts w:ascii="Titillium" w:hAnsi="Titillium" w:cstheme="minorHAnsi"/>
          <w:sz w:val="20"/>
          <w:szCs w:val="20"/>
        </w:rPr>
        <w:t>” (di seguito “Avviso”);</w:t>
      </w:r>
    </w:p>
    <w:p w14:paraId="6DD1C7E0"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lang w:val="en-US"/>
        </w:rPr>
      </w:pPr>
      <w:r w:rsidRPr="001845CA">
        <w:rPr>
          <w:rFonts w:ascii="Titillium" w:hAnsi="Titillium" w:cstheme="minorHAnsi"/>
          <w:sz w:val="20"/>
          <w:szCs w:val="20"/>
        </w:rPr>
        <w:t xml:space="preserve">con Decreto Direttoriale del MUR n. 1243 del 2 agosto 2022, sono state approvate le graduatorie delle proposte pervenute in risposta all’Avviso, con la contestuale ammissione alla successiva Fase 2 delle suddette proposte, ai sensi dell’art. 11 dell’Avviso; con il medesimo Decreto Direttoriale n. 1243 del 2 agosto 2022, è stata approvata la proposta progettuale presentata dell’Università degli Studi di Roma Tor Vergata per la costituzione del Partenariato Esteso </w:t>
      </w:r>
      <w:bookmarkStart w:id="2" w:name="_Hlk124411874"/>
      <w:r w:rsidRPr="001845CA">
        <w:rPr>
          <w:rFonts w:ascii="Titillium" w:hAnsi="Titillium" w:cstheme="minorHAnsi"/>
          <w:sz w:val="20"/>
          <w:szCs w:val="20"/>
        </w:rPr>
        <w:t>“</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smart (RESTART)”</w:t>
      </w:r>
      <w:bookmarkEnd w:id="2"/>
      <w:r w:rsidRPr="001845CA">
        <w:rPr>
          <w:rFonts w:ascii="Titillium" w:hAnsi="Titillium" w:cstheme="minorHAnsi"/>
          <w:sz w:val="20"/>
          <w:szCs w:val="20"/>
        </w:rPr>
        <w:t xml:space="preserve">, relativa all’Area Tematica: “14. </w:t>
      </w:r>
      <w:r w:rsidRPr="001845CA">
        <w:rPr>
          <w:rFonts w:ascii="Titillium" w:hAnsi="Titillium" w:cstheme="minorHAnsi"/>
          <w:sz w:val="20"/>
          <w:szCs w:val="20"/>
          <w:lang w:val="en-US"/>
        </w:rPr>
        <w:t xml:space="preserve">Telecommunications of the future” – Progetto </w:t>
      </w:r>
      <w:proofErr w:type="gramStart"/>
      <w:r w:rsidRPr="001845CA">
        <w:rPr>
          <w:rFonts w:ascii="Titillium" w:hAnsi="Titillium" w:cstheme="minorHAnsi"/>
          <w:sz w:val="20"/>
          <w:szCs w:val="20"/>
          <w:lang w:val="en-US"/>
        </w:rPr>
        <w:t>PE00000001;</w:t>
      </w:r>
      <w:proofErr w:type="gramEnd"/>
    </w:p>
    <w:p w14:paraId="779B66DB"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con nota 03 agosto 2022, n. 13695, il MUR, nel comunicare gli esiti della valutazione della manifestazione di interesse, ha chiesto all’HUB RESTART la presentazione della proposta integrale, entro il 7 settembre 2022;</w:t>
      </w:r>
    </w:p>
    <w:p w14:paraId="1FC5C504"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l’HUB RESTART ha trasmesso la proposta integrale;</w:t>
      </w:r>
    </w:p>
    <w:p w14:paraId="0123DBD6"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la Commissione, istituita con Decreto del Ministro dell’Università e della Ricerca n. </w:t>
      </w:r>
      <w:r w:rsidRPr="001845CA">
        <w:rPr>
          <w:rFonts w:ascii="Titillium" w:hAnsi="Titillium"/>
          <w:sz w:val="20"/>
          <w:szCs w:val="20"/>
        </w:rPr>
        <w:t>1128/2022</w:t>
      </w:r>
      <w:r w:rsidRPr="001845CA">
        <w:rPr>
          <w:rFonts w:ascii="Titillium" w:hAnsi="Titillium" w:cstheme="minorHAnsi"/>
          <w:sz w:val="20"/>
          <w:szCs w:val="20"/>
        </w:rPr>
        <w:t>, ha svolto la Fase 2 Proposta integrale e Fase Negoziale dell’Avviso e, in esito all’esperimento della Fase Negoziale, ha definito il Programma di Ricerca (Allegato A), Piano dei costi e delle agevolazioni (Allegato B), nonché il Cronoprogramma di attuazione che riporta milestones di progetto e il relativo Piano dei pagamenti connesso al conseguimento degli obiettivi (Allegato C), che, unitamente al Disciplinare di concessione delle agevolazioni (Allegato D), regolano i rapporti tra il MUR ed il Soggetto Attuatore, nonché i relativi termini e condizioni, le modalità di attuazione e gli obblighi di rendicontazione del Programma di ricerca identificato con codice PE00000001 dal titolo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w:t>
      </w:r>
    </w:p>
    <w:p w14:paraId="57B548C1"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con Decreto Direttoriale n. 1549 del 11/10/2022, di seguito, “Decreto di Concessione del Finanziamento”) è stata ammessa a finanziamento la domanda di agevolazione presentata dalla Fondazione RESTART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 tematica “14. Telecomunicazioni del futuro”, contrassegnata dal codice identificativo PE00000001, per la realizzazione del Programma di Ricerca dal titolo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w:t>
      </w:r>
    </w:p>
    <w:p w14:paraId="60B4EDCD"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il predetto Decreto Direttoriale n. 1549 del 11/10/2022 ha destinato alla realizzazione del Programma di ricerca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 xml:space="preserve">” l’importo di euro 115.902.093,13 (euro </w:t>
      </w:r>
      <w:proofErr w:type="spellStart"/>
      <w:r w:rsidRPr="001845CA">
        <w:rPr>
          <w:rFonts w:ascii="Titillium" w:hAnsi="Titillium" w:cstheme="minorHAnsi"/>
          <w:sz w:val="20"/>
          <w:szCs w:val="20"/>
        </w:rPr>
        <w:t>centoquindicimilioninovecentoduemilanovantatre</w:t>
      </w:r>
      <w:proofErr w:type="spellEnd"/>
      <w:r w:rsidRPr="001845CA">
        <w:rPr>
          <w:rFonts w:ascii="Titillium" w:hAnsi="Titillium" w:cstheme="minorHAnsi"/>
          <w:sz w:val="20"/>
          <w:szCs w:val="20"/>
        </w:rPr>
        <w:t xml:space="preserve">/13), nella forma del contributo alla spesa a valere sulla Missione 4, Componente 2, Investimento 1.3 “Creazione di “Partenariati estesi alle università, ai centri di ricerca, alle aziende per il finanziamento di progetti di ricerca di base” del PNRR; il predetto finanziamento verrà erogato dal MUR, nel rispetto della normativa vigente e </w:t>
      </w:r>
      <w:bookmarkEnd w:id="1"/>
      <w:r w:rsidRPr="001845CA">
        <w:rPr>
          <w:rFonts w:ascii="Titillium" w:hAnsi="Titillium" w:cstheme="minorHAnsi"/>
          <w:sz w:val="20"/>
          <w:szCs w:val="20"/>
        </w:rPr>
        <w:t xml:space="preserve">delle disposizioni previste dal D.M. 14 dicembre 2021, n. 1314 e </w:t>
      </w:r>
      <w:proofErr w:type="spellStart"/>
      <w:r w:rsidRPr="001845CA">
        <w:rPr>
          <w:rFonts w:ascii="Titillium" w:hAnsi="Titillium" w:cstheme="minorHAnsi"/>
          <w:sz w:val="20"/>
          <w:szCs w:val="20"/>
        </w:rPr>
        <w:t>s.m.i.</w:t>
      </w:r>
      <w:proofErr w:type="spellEnd"/>
      <w:r w:rsidRPr="001845CA">
        <w:rPr>
          <w:rFonts w:ascii="Titillium" w:hAnsi="Titillium" w:cstheme="minorHAnsi"/>
          <w:sz w:val="20"/>
          <w:szCs w:val="20"/>
        </w:rPr>
        <w:t>, e in base al Cronoprogramma di attuazione e Piano dei pagamenti di cui all’Allegato C del Decreto di Concessione del Finanziamento;</w:t>
      </w:r>
    </w:p>
    <w:p w14:paraId="1813C70A"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il citato Decreto Direttoriale n. 1549 del 11/10/2022, la normativa in esso citata e i suoi allegati: Allegato A – Programma di Ricerca; Allegato B – Piano dei Costi e delle Agevolazioni; Allegato C - Cronoprogramma di attuazione e Piano dei pagamenti; Allegato D - Disciplinare di concessione delle agevolazioni, contengono i termini, le condizioni, le forme, le misure, le modalità di attuazione e gli obblighi di rendicontazione del Programma;</w:t>
      </w:r>
    </w:p>
    <w:p w14:paraId="49C77DE2"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la Fondazione RESTART ha sottoscritto in data 07/12/2022 l’Atto d’Obbligo e di Accettazione con il quale si è obbligata a realizzare il Programma di Ricerca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w:t>
      </w:r>
    </w:p>
    <w:p w14:paraId="05352A3C"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con la sottoscrizione dell’Atto d’Obbligo e di Accettazione, la Fondazione “RESTART” si è impegnata, quale Soggetto Attuatore (Hub) del Programma di ricerca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 all’avvio, all’attuazione e alla gestione del Partenariato Esteso e a garantire la piena attuazione del Programma di ricerca del suddetto Partenariato Esteso, nel rispetto dei vincoli previsti dal Decreto di Concessione del Finanziamento;</w:t>
      </w:r>
    </w:p>
    <w:p w14:paraId="63A1FF2F"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trike/>
          <w:sz w:val="20"/>
          <w:szCs w:val="20"/>
        </w:rPr>
      </w:pPr>
      <w:r w:rsidRPr="001845CA">
        <w:rPr>
          <w:rFonts w:ascii="Titillium" w:hAnsi="Titillium" w:cstheme="minorHAnsi"/>
          <w:sz w:val="20"/>
          <w:szCs w:val="20"/>
        </w:rPr>
        <w:t xml:space="preserve">l’Avviso n. 314 del 15/03/2022, al suo art. 4, stabilisce che ogni proposta progettuale, finalizzata alla creazione di un Partenariato Esteso in una delle 14 (quattordici) tematiche oggetto del citato Avviso, deve essere organizzata con una struttura di governance di tipo </w:t>
      </w:r>
      <w:proofErr w:type="spellStart"/>
      <w:r w:rsidRPr="001845CA">
        <w:rPr>
          <w:rFonts w:ascii="Titillium" w:hAnsi="Titillium" w:cstheme="minorHAnsi"/>
          <w:sz w:val="20"/>
          <w:szCs w:val="20"/>
        </w:rPr>
        <w:t>Hub&amp;Spoke</w:t>
      </w:r>
      <w:proofErr w:type="spellEnd"/>
      <w:r w:rsidRPr="001845CA">
        <w:rPr>
          <w:rFonts w:ascii="Titillium" w:hAnsi="Titillium" w:cstheme="minorHAnsi"/>
          <w:sz w:val="20"/>
          <w:szCs w:val="20"/>
        </w:rPr>
        <w:t xml:space="preserve"> e che l’art. 2 chiarisce che l’Hub è il soggetto responsabile dell’avvio, dell’attuazione e della gestione del Partenariato Esteso. È costituito da Università statali ed Enti Pubblici di Ricerca vigilati dal MUR e può prevedere il coinvolgimento di Università non statali, altri Enti Pubblici di Ricerca e di altri soggetti pubblici o privati che svolgono attività di ricerca, altamente qualificati. In particolare, l’art. 1, comma 4, lett. o) del decreto-legge 31 maggio 2021, n. 77, convertito con </w:t>
      </w:r>
      <w:r w:rsidRPr="001845CA">
        <w:rPr>
          <w:rFonts w:ascii="Titillium" w:hAnsi="Titillium" w:cstheme="minorHAnsi"/>
          <w:sz w:val="20"/>
          <w:szCs w:val="20"/>
        </w:rPr>
        <w:lastRenderedPageBreak/>
        <w:t xml:space="preserve">modificazioni dalla legge 29 luglio 2021 n. 108, indica che i soggetti attuatori sono: “i soggetti pubblici o privati che provvedono alla realizzazione degli interventi previsti dal PNRR”, mentre lo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è il soggetto pubblico o l’operatore economico privato coinvolto nella realizzazione del Programma di Ricerca ed individuato nel rispetto della normativa comunitaria e nazionale applicabile;</w:t>
      </w:r>
    </w:p>
    <w:p w14:paraId="58C7A18A"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le Università e il CNR, in attuazione delle previsioni di cui all’art. 4 dell’Avviso, si sono impegnate a partecipare al Partenariato Esteso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 xml:space="preserve">”, in qualità di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conferendo apposita delega al soggetto proponente per la presentazione della proposta progettuale ammessa a finanziamento con il citato Decreto Direttoriale n. 1549 del 11/10/2022;</w:t>
      </w:r>
    </w:p>
    <w:p w14:paraId="7D8D0172" w14:textId="0662ECDB"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ai sensi dell’art. 4 dell’Avviso, gli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sono soggetti pubblici o operatori economici privati coinvolti nella realizzazione del Programma di ricerca e innovazione, soggetti esecutori che ricevono dall’Hub le agevolazioni in ragione delle attività svolte. Ogni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provvede alla rendicontazione all’Hub delle </w:t>
      </w:r>
      <w:r w:rsidR="00211E3D">
        <w:rPr>
          <w:rFonts w:ascii="Titillium" w:hAnsi="Titillium" w:cstheme="minorHAnsi"/>
          <w:sz w:val="20"/>
          <w:szCs w:val="20"/>
        </w:rPr>
        <w:t xml:space="preserve">proprie </w:t>
      </w:r>
      <w:r w:rsidRPr="001845CA">
        <w:rPr>
          <w:rFonts w:ascii="Titillium" w:hAnsi="Titillium" w:cstheme="minorHAnsi"/>
          <w:sz w:val="20"/>
          <w:szCs w:val="20"/>
        </w:rPr>
        <w:t>spese;</w:t>
      </w:r>
    </w:p>
    <w:p w14:paraId="257D7C36"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il MUR con doc. registro ufficiale U.0007554 del 10 ottobre 2022, ed eventuali successive modificazioni ed integrazioni, ha emanato le “Linee guida per la Rendicontazione destinate ai soggetti attuatori delle iniziative di sistema Missione 4 Componente 2”;</w:t>
      </w:r>
    </w:p>
    <w:p w14:paraId="5A12D897"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il MUR con doc. registro ufficiale U.0007553 del 10 ottobre 2022, ed eventuali successive modificazioni ed integrazioni, ha emanato le “Linee Guida per le azioni di informazione e comunicazione a cura dei soggetti attuatori”;</w:t>
      </w:r>
    </w:p>
    <w:p w14:paraId="200C02CE" w14:textId="7777777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il MUR con nota fornita dal MUR “PNRR MUR – M4C2 – Avviso “Centri Nazionali”, Avviso “Ecosistemi dell’Innovazione”, Avviso “Partenariati Estesi”.  Circolare interpretativa” ha chiarito con riferimento all’articolo 5, comma 2, del Disciplinare, allegato al decreto di concessione del finanziamento espressamente accettato con il relativo Atto d’Obbligo, che in relazione all’idonea garanzia richiesta ai fini della concessione del finanziamento in assenza di fideiussione bancaria e quale ipotesi di “strumento fornito a garanzia dalla Stato membro”, per eventuali importi oggetto di recupero, procederà a compensazione pro-quota e fino a corrispondenza dell’intera somma oggetto di recupero, nei confronti delle Università e/o degli Enti pubblici di ricerca vigilati dal MUR soci del soggetto HUB, in qualsiasi momento e con detrazione su ogni altra erogazione o contributo da assegnare agli stessi anche in base ad altro titolo;</w:t>
      </w:r>
    </w:p>
    <w:p w14:paraId="07D46C89" w14:textId="5EEEA8E7" w:rsidR="001845CA" w:rsidRPr="001845C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ai sensi dell’art. 4, comma 17</w:t>
      </w:r>
      <w:r w:rsidRPr="001845CA">
        <w:rPr>
          <w:rFonts w:ascii="Titillium" w:hAnsi="Titillium"/>
          <w:sz w:val="20"/>
          <w:szCs w:val="20"/>
        </w:rPr>
        <w:t xml:space="preserve"> </w:t>
      </w:r>
      <w:r w:rsidRPr="001845CA">
        <w:rPr>
          <w:rFonts w:ascii="Titillium" w:hAnsi="Titillium" w:cstheme="minorHAnsi"/>
          <w:sz w:val="20"/>
          <w:szCs w:val="20"/>
        </w:rPr>
        <w:t>dell’Avviso, le Parti intendono regolamentare, con la sottoscrizione del presente accordo, i reciproci rapporti relativi all’attuazione del Programma di ricerca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 nel rispetto delle previsioni contenute nel Decreto Direttoriale n. 1549 del 11/10/22 e nei documenti ivi allegati, incluso il Disciplinare di concessione delle agevolazioni</w:t>
      </w:r>
      <w:r w:rsidRPr="001845CA">
        <w:rPr>
          <w:rFonts w:ascii="Titillium" w:hAnsi="Titillium"/>
          <w:sz w:val="20"/>
          <w:szCs w:val="20"/>
        </w:rPr>
        <w:t xml:space="preserve"> </w:t>
      </w:r>
      <w:r w:rsidRPr="001845CA">
        <w:rPr>
          <w:rFonts w:ascii="Titillium" w:hAnsi="Titillium" w:cstheme="minorHAnsi"/>
          <w:sz w:val="20"/>
          <w:szCs w:val="20"/>
        </w:rPr>
        <w:t xml:space="preserve">e che all’art. 2 si chiarisce che l’Hub è il soggetto responsabile dell’avvio, dell’attuazione e della gestione del Partenariato Esteso, mentre gli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sono i soggetti coinvolti nella realizzazione del Programma di ricerca e innovazione (“gli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w:t>
      </w:r>
    </w:p>
    <w:p w14:paraId="77EC95B7" w14:textId="77777777" w:rsidR="0018746A" w:rsidRDefault="001845CA" w:rsidP="00FE6FB9">
      <w:pPr>
        <w:pStyle w:val="Paragrafoelenco"/>
        <w:numPr>
          <w:ilvl w:val="0"/>
          <w:numId w:val="6"/>
        </w:numPr>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in particolare, come previsto nel Programma di Ricerca, Allegato A al Decreto di Concessione, il Partenariato </w:t>
      </w:r>
      <w:r w:rsidR="0018746A" w:rsidRPr="001845CA">
        <w:rPr>
          <w:rFonts w:ascii="Titillium" w:hAnsi="Titillium" w:cstheme="minorHAnsi"/>
          <w:sz w:val="20"/>
          <w:szCs w:val="20"/>
        </w:rPr>
        <w:t>Esteso “</w:t>
      </w:r>
      <w:proofErr w:type="spellStart"/>
      <w:r w:rsidRPr="001845CA">
        <w:rPr>
          <w:rFonts w:ascii="Titillium" w:hAnsi="Titillium" w:cstheme="minorHAnsi"/>
          <w:sz w:val="20"/>
          <w:szCs w:val="20"/>
        </w:rPr>
        <w:t>RESearch</w:t>
      </w:r>
      <w:proofErr w:type="spellEnd"/>
      <w:r w:rsidRPr="001845CA">
        <w:rPr>
          <w:rFonts w:ascii="Titillium" w:hAnsi="Titillium" w:cstheme="minorHAnsi"/>
          <w:sz w:val="20"/>
          <w:szCs w:val="20"/>
        </w:rPr>
        <w:t xml:space="preserve"> and </w:t>
      </w:r>
      <w:proofErr w:type="spellStart"/>
      <w:r w:rsidRPr="001845CA">
        <w:rPr>
          <w:rFonts w:ascii="Titillium" w:hAnsi="Titillium" w:cstheme="minorHAnsi"/>
          <w:sz w:val="20"/>
          <w:szCs w:val="20"/>
        </w:rPr>
        <w:t>innovation</w:t>
      </w:r>
      <w:proofErr w:type="spellEnd"/>
      <w:r w:rsidRPr="001845CA">
        <w:rPr>
          <w:rFonts w:ascii="Titillium" w:hAnsi="Titillium" w:cstheme="minorHAnsi"/>
          <w:sz w:val="20"/>
          <w:szCs w:val="20"/>
        </w:rPr>
        <w:t xml:space="preserve"> on future </w:t>
      </w:r>
      <w:proofErr w:type="spellStart"/>
      <w:r w:rsidRPr="001845CA">
        <w:rPr>
          <w:rFonts w:ascii="Titillium" w:hAnsi="Titillium" w:cstheme="minorHAnsi"/>
          <w:sz w:val="20"/>
          <w:szCs w:val="20"/>
        </w:rPr>
        <w:t>Telecommunications</w:t>
      </w:r>
      <w:proofErr w:type="spellEnd"/>
      <w:r w:rsidRPr="001845CA">
        <w:rPr>
          <w:rFonts w:ascii="Titillium" w:hAnsi="Titillium" w:cstheme="minorHAnsi"/>
          <w:sz w:val="20"/>
          <w:szCs w:val="20"/>
        </w:rPr>
        <w:t xml:space="preserve"> systems and networks, to make </w:t>
      </w:r>
      <w:proofErr w:type="spellStart"/>
      <w:r w:rsidRPr="001845CA">
        <w:rPr>
          <w:rFonts w:ascii="Titillium" w:hAnsi="Titillium" w:cstheme="minorHAnsi"/>
          <w:sz w:val="20"/>
          <w:szCs w:val="20"/>
        </w:rPr>
        <w:t>Italy</w:t>
      </w:r>
      <w:proofErr w:type="spellEnd"/>
      <w:r w:rsidRPr="001845CA">
        <w:rPr>
          <w:rFonts w:ascii="Titillium" w:hAnsi="Titillium" w:cstheme="minorHAnsi"/>
          <w:sz w:val="20"/>
          <w:szCs w:val="20"/>
        </w:rPr>
        <w:t xml:space="preserve"> more </w:t>
      </w:r>
      <w:proofErr w:type="spellStart"/>
      <w:r w:rsidRPr="001845CA">
        <w:rPr>
          <w:rFonts w:ascii="Titillium" w:hAnsi="Titillium" w:cstheme="minorHAnsi"/>
          <w:sz w:val="20"/>
          <w:szCs w:val="20"/>
        </w:rPr>
        <w:t>smART</w:t>
      </w:r>
      <w:proofErr w:type="spellEnd"/>
      <w:r w:rsidRPr="001845CA">
        <w:rPr>
          <w:rFonts w:ascii="Titillium" w:hAnsi="Titillium" w:cstheme="minorHAnsi"/>
          <w:sz w:val="20"/>
          <w:szCs w:val="20"/>
        </w:rPr>
        <w:t>”</w:t>
      </w:r>
      <w:r w:rsidRPr="001845CA" w:rsidDel="00536B18">
        <w:rPr>
          <w:rFonts w:ascii="Titillium" w:hAnsi="Titillium" w:cstheme="minorHAnsi"/>
          <w:sz w:val="20"/>
          <w:szCs w:val="20"/>
        </w:rPr>
        <w:t xml:space="preserve"> </w:t>
      </w:r>
      <w:r w:rsidRPr="001845CA">
        <w:rPr>
          <w:rFonts w:ascii="Titillium" w:hAnsi="Titillium" w:cstheme="minorHAnsi"/>
          <w:sz w:val="20"/>
          <w:szCs w:val="20"/>
        </w:rPr>
        <w:t xml:space="preserve">avrà 8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nei quali parteciperanno come Affiliati n. 25 partner</w:t>
      </w:r>
      <w:r w:rsidR="00005B3B" w:rsidRPr="00363464">
        <w:rPr>
          <w:rFonts w:ascii="Titillium" w:hAnsi="Titillium" w:cstheme="minorHAnsi"/>
          <w:sz w:val="20"/>
          <w:szCs w:val="20"/>
        </w:rPr>
        <w:t>.</w:t>
      </w:r>
    </w:p>
    <w:p w14:paraId="025EBC88" w14:textId="124C07EB" w:rsidR="0018746A" w:rsidRPr="008E3BD6" w:rsidRDefault="0018746A" w:rsidP="00FE6FB9">
      <w:pPr>
        <w:pStyle w:val="Paragrafoelenco"/>
        <w:numPr>
          <w:ilvl w:val="0"/>
          <w:numId w:val="6"/>
        </w:numPr>
        <w:spacing w:before="240" w:after="160"/>
        <w:ind w:left="-180"/>
        <w:jc w:val="both"/>
        <w:rPr>
          <w:rFonts w:ascii="Titillium" w:hAnsi="Titillium" w:cstheme="minorHAnsi"/>
          <w:sz w:val="20"/>
          <w:szCs w:val="20"/>
        </w:rPr>
      </w:pPr>
      <w:r w:rsidRPr="008E3BD6">
        <w:rPr>
          <w:rFonts w:ascii="Titillium" w:hAnsi="Titillium" w:cstheme="minorHAnsi"/>
          <w:sz w:val="20"/>
          <w:szCs w:val="20"/>
        </w:rPr>
        <w:t xml:space="preserve">Con Delibera del Consiglio di Amministrazione dello </w:t>
      </w:r>
      <w:proofErr w:type="spellStart"/>
      <w:r w:rsidRPr="008E3BD6">
        <w:rPr>
          <w:rFonts w:ascii="Titillium" w:hAnsi="Titillium" w:cstheme="minorHAnsi"/>
          <w:sz w:val="20"/>
          <w:szCs w:val="20"/>
        </w:rPr>
        <w:t>Spoke</w:t>
      </w:r>
      <w:proofErr w:type="spellEnd"/>
      <w:r w:rsidRPr="008E3BD6">
        <w:rPr>
          <w:rFonts w:ascii="Titillium" w:hAnsi="Titillium" w:cstheme="minorHAnsi"/>
          <w:sz w:val="20"/>
          <w:szCs w:val="20"/>
        </w:rPr>
        <w:t xml:space="preserve"> ____n. __ del __/__/____ è stato pubblicato il Bando n. __ “Bando a Cascata verso Enti Pubblici e/o Enti Privati” e relativi allegati del __/__/____ pubblicato sul sito web ____</w:t>
      </w:r>
    </w:p>
    <w:p w14:paraId="5DBD415B" w14:textId="7D01AFB0" w:rsidR="0018746A" w:rsidRPr="008E3BD6" w:rsidRDefault="0018746A" w:rsidP="00FE6FB9">
      <w:pPr>
        <w:pStyle w:val="Paragrafoelenco"/>
        <w:numPr>
          <w:ilvl w:val="0"/>
          <w:numId w:val="6"/>
        </w:numPr>
        <w:spacing w:before="240" w:after="160"/>
        <w:ind w:left="-180"/>
        <w:jc w:val="both"/>
        <w:rPr>
          <w:rFonts w:ascii="Titillium" w:hAnsi="Titillium" w:cstheme="minorHAnsi"/>
          <w:sz w:val="20"/>
          <w:szCs w:val="20"/>
        </w:rPr>
      </w:pPr>
      <w:r w:rsidRPr="008E3BD6">
        <w:rPr>
          <w:rFonts w:ascii="Titillium" w:hAnsi="Titillium" w:cstheme="minorHAnsi"/>
          <w:sz w:val="20"/>
          <w:szCs w:val="20"/>
        </w:rPr>
        <w:t xml:space="preserve">Con Delibera del Consiglio di Amministrazione dello </w:t>
      </w:r>
      <w:proofErr w:type="spellStart"/>
      <w:r w:rsidRPr="008E3BD6">
        <w:rPr>
          <w:rFonts w:ascii="Titillium" w:hAnsi="Titillium" w:cstheme="minorHAnsi"/>
          <w:sz w:val="20"/>
          <w:szCs w:val="20"/>
        </w:rPr>
        <w:t>Spoke</w:t>
      </w:r>
      <w:proofErr w:type="spellEnd"/>
      <w:r w:rsidRPr="008E3BD6">
        <w:rPr>
          <w:rFonts w:ascii="Titillium" w:hAnsi="Titillium" w:cstheme="minorHAnsi"/>
          <w:sz w:val="20"/>
          <w:szCs w:val="20"/>
        </w:rPr>
        <w:t xml:space="preserve"> ____n. __ del __/__/____ sono stati ammessi alla concessione di finanziamento i seguenti Progetti: ___________ del Beneficiario __________; ___________ del Beneficiario __________; ecc.</w:t>
      </w:r>
    </w:p>
    <w:p w14:paraId="090FF06E" w14:textId="77777777" w:rsidR="001845CA" w:rsidRPr="001845CA" w:rsidRDefault="001845CA" w:rsidP="00A77813">
      <w:pPr>
        <w:spacing w:before="240"/>
        <w:ind w:left="-180"/>
        <w:rPr>
          <w:rFonts w:ascii="Titillium" w:hAnsi="Titillium" w:cstheme="minorHAnsi"/>
          <w:sz w:val="20"/>
          <w:szCs w:val="20"/>
        </w:rPr>
      </w:pPr>
      <w:r w:rsidRPr="001845CA">
        <w:rPr>
          <w:rFonts w:ascii="Titillium" w:hAnsi="Titillium" w:cstheme="minorHAnsi"/>
          <w:sz w:val="20"/>
          <w:szCs w:val="20"/>
        </w:rPr>
        <w:t>Tutto ciò premesso e considerato, le Parti come sopra individuate convengono e stipulano quanto segue:</w:t>
      </w:r>
    </w:p>
    <w:p w14:paraId="43876CA0" w14:textId="77777777"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 xml:space="preserve">Art. 1 - Premesse </w:t>
      </w:r>
    </w:p>
    <w:p w14:paraId="3D5F0699" w14:textId="642C2BE2" w:rsidR="001845CA" w:rsidRPr="001845CA" w:rsidRDefault="001845CA" w:rsidP="00A77813">
      <w:pPr>
        <w:spacing w:before="240"/>
        <w:ind w:left="-180"/>
        <w:rPr>
          <w:rFonts w:ascii="Titillium" w:hAnsi="Titillium" w:cstheme="minorHAnsi"/>
          <w:sz w:val="20"/>
          <w:szCs w:val="20"/>
        </w:rPr>
      </w:pPr>
      <w:r w:rsidRPr="001845CA">
        <w:rPr>
          <w:rFonts w:ascii="Titillium" w:hAnsi="Titillium" w:cstheme="minorHAnsi"/>
          <w:sz w:val="20"/>
          <w:szCs w:val="20"/>
        </w:rPr>
        <w:t xml:space="preserve">Le premesse sono parte integrante e sostanziale del presente </w:t>
      </w:r>
      <w:r w:rsidR="00B61836">
        <w:rPr>
          <w:rFonts w:ascii="Titillium" w:hAnsi="Titillium" w:cstheme="minorHAnsi"/>
          <w:sz w:val="20"/>
          <w:szCs w:val="20"/>
        </w:rPr>
        <w:t>accordo</w:t>
      </w:r>
      <w:r w:rsidRPr="001845CA">
        <w:rPr>
          <w:rFonts w:ascii="Titillium" w:hAnsi="Titillium" w:cstheme="minorHAnsi"/>
          <w:sz w:val="20"/>
          <w:szCs w:val="20"/>
        </w:rPr>
        <w:t>.</w:t>
      </w:r>
    </w:p>
    <w:p w14:paraId="018CF892" w14:textId="77777777"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2 - Definizioni</w:t>
      </w:r>
    </w:p>
    <w:p w14:paraId="1828BC7A" w14:textId="443E5083"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Ai fini de</w:t>
      </w:r>
      <w:r w:rsidR="00B61836">
        <w:rPr>
          <w:rFonts w:ascii="Titillium" w:hAnsi="Titillium" w:cstheme="minorHAnsi"/>
          <w:sz w:val="20"/>
          <w:szCs w:val="20"/>
        </w:rPr>
        <w:t xml:space="preserve">l </w:t>
      </w:r>
      <w:r w:rsidRPr="001845CA">
        <w:rPr>
          <w:rFonts w:ascii="Titillium" w:hAnsi="Titillium" w:cstheme="minorHAnsi"/>
          <w:sz w:val="20"/>
          <w:szCs w:val="20"/>
        </w:rPr>
        <w:t xml:space="preserve">presente </w:t>
      </w:r>
      <w:r w:rsidR="00B61836">
        <w:rPr>
          <w:rFonts w:ascii="Titillium" w:hAnsi="Titillium" w:cstheme="minorHAnsi"/>
          <w:sz w:val="20"/>
          <w:szCs w:val="20"/>
        </w:rPr>
        <w:t>accordo</w:t>
      </w:r>
      <w:r w:rsidRPr="001845CA">
        <w:rPr>
          <w:rFonts w:ascii="Titillium" w:hAnsi="Titillium" w:cstheme="minorHAnsi"/>
          <w:sz w:val="20"/>
          <w:szCs w:val="20"/>
        </w:rPr>
        <w:t xml:space="preserve">, si applicano le definizioni contenute nel Decreto Ministeriale n. 1314 del 14 dicembre 2021 e </w:t>
      </w:r>
      <w:proofErr w:type="spellStart"/>
      <w:proofErr w:type="gramStart"/>
      <w:r w:rsidRPr="001845CA">
        <w:rPr>
          <w:rFonts w:ascii="Titillium" w:hAnsi="Titillium" w:cstheme="minorHAnsi"/>
          <w:sz w:val="20"/>
          <w:szCs w:val="20"/>
        </w:rPr>
        <w:t>ss.mm.ii</w:t>
      </w:r>
      <w:proofErr w:type="spellEnd"/>
      <w:proofErr w:type="gramEnd"/>
      <w:r w:rsidRPr="001845CA">
        <w:rPr>
          <w:rFonts w:ascii="Titillium" w:hAnsi="Titillium" w:cstheme="minorHAnsi"/>
          <w:sz w:val="20"/>
          <w:szCs w:val="20"/>
        </w:rPr>
        <w:t xml:space="preserve"> e nell’Avviso n. 341 del 15 marzo 2022.</w:t>
      </w:r>
    </w:p>
    <w:p w14:paraId="6DD35A14" w14:textId="77777777"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lastRenderedPageBreak/>
        <w:t>Art. 3 - Normativa applicabile</w:t>
      </w:r>
    </w:p>
    <w:p w14:paraId="60339ABA" w14:textId="77777777"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Le Parti dichiarano di conoscere e si obbligano al rispetto delle disposizioni contenute nei seguenti documenti:</w:t>
      </w:r>
    </w:p>
    <w:p w14:paraId="36C3B18E"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Regolamento (UE) 2021/241 del Parlamento europeo e del Consiglio del 12 febbraio 2021, pubblicato nella Gazzetta Ufficiale dell’Unione Europea L57 del 18 febbraio 2021, che istituisce il dispositivo per la ripresa e la resilienza dell’Unione Europea, come integrato dal Regolamento delegato (UE) 2021/2105 della Commissione del 28 settembre 2021e dal Regolamento delegato (UE) 2021/2106 della Commissione del 28 settembre 2021;</w:t>
      </w:r>
    </w:p>
    <w:p w14:paraId="0C7F6237"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Regolamento (UE) 2018/1046 del Parlamento europeo e del Consiglio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1845CA">
        <w:rPr>
          <w:rFonts w:ascii="Titillium" w:hAnsi="Titillium" w:cstheme="minorHAnsi"/>
          <w:sz w:val="20"/>
          <w:szCs w:val="20"/>
        </w:rPr>
        <w:t>Euratom</w:t>
      </w:r>
      <w:proofErr w:type="spellEnd"/>
      <w:r w:rsidRPr="001845CA">
        <w:rPr>
          <w:rFonts w:ascii="Titillium" w:hAnsi="Titillium" w:cstheme="minorHAnsi"/>
          <w:sz w:val="20"/>
          <w:szCs w:val="20"/>
        </w:rPr>
        <w:t>) n. 966/2012;</w:t>
      </w:r>
    </w:p>
    <w:p w14:paraId="0DE7925A"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Regolamento (UE) 2020/852 del Parlamento europeo e del Consiglio del 18 giugno 2020 relativo all’istituzione di un quadro che favorisce gli investimenti sostenibili e recante modifica del regolamento (UE) 2019/2088, che definisce gli obiettivi ambientali, tra cui il principio di non arrecare un danno significativo (DNSH, “Do no </w:t>
      </w:r>
      <w:proofErr w:type="spellStart"/>
      <w:r w:rsidRPr="001845CA">
        <w:rPr>
          <w:rFonts w:ascii="Titillium" w:hAnsi="Titillium" w:cstheme="minorHAnsi"/>
          <w:sz w:val="20"/>
          <w:szCs w:val="20"/>
        </w:rPr>
        <w:t>significant</w:t>
      </w:r>
      <w:proofErr w:type="spellEnd"/>
      <w:r w:rsidRPr="001845CA">
        <w:rPr>
          <w:rFonts w:ascii="Titillium" w:hAnsi="Titillium" w:cstheme="minorHAnsi"/>
          <w:sz w:val="20"/>
          <w:szCs w:val="20"/>
        </w:rPr>
        <w:t xml:space="preserve"> </w:t>
      </w:r>
      <w:proofErr w:type="spellStart"/>
      <w:r w:rsidRPr="001845CA">
        <w:rPr>
          <w:rFonts w:ascii="Titillium" w:hAnsi="Titillium" w:cstheme="minorHAnsi"/>
          <w:sz w:val="20"/>
          <w:szCs w:val="20"/>
        </w:rPr>
        <w:t>harm</w:t>
      </w:r>
      <w:proofErr w:type="spellEnd"/>
      <w:r w:rsidRPr="001845CA">
        <w:rPr>
          <w:rFonts w:ascii="Titillium" w:hAnsi="Titillium" w:cstheme="minorHAnsi"/>
          <w:sz w:val="20"/>
          <w:szCs w:val="20"/>
        </w:rPr>
        <w:t xml:space="preserve">”), e la relativa Comunicazione della Commissione Europea C(2021) 1054 </w:t>
      </w:r>
      <w:proofErr w:type="spellStart"/>
      <w:r w:rsidRPr="001845CA">
        <w:rPr>
          <w:rFonts w:ascii="Titillium" w:hAnsi="Titillium" w:cstheme="minorHAnsi"/>
          <w:sz w:val="20"/>
          <w:szCs w:val="20"/>
        </w:rPr>
        <w:t>final</w:t>
      </w:r>
      <w:proofErr w:type="spellEnd"/>
      <w:r w:rsidRPr="001845CA">
        <w:rPr>
          <w:rFonts w:ascii="Titillium" w:hAnsi="Titillium" w:cstheme="minorHAnsi"/>
          <w:sz w:val="20"/>
          <w:szCs w:val="20"/>
        </w:rPr>
        <w:t xml:space="preserve"> del 12 febbraio 2021, recante “Orientamenti tecnici sull'applicazione del principio "non arrecare un danno significativo" a norma del regolamento sul dispositivo per la ripresa e la resilienza”;</w:t>
      </w:r>
    </w:p>
    <w:p w14:paraId="07E64D48"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Regolamento (UE) 2021/1060 del Parlamento europeo e del Consiglio del 24 giugno 2021,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w:t>
      </w:r>
    </w:p>
    <w:p w14:paraId="292F7AAE"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Comunicazione della Commissione 2014/C 198/01 “Disciplina degli aiuti di Stato a favore di ricerca, sviluppo e innovazione”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w:t>
      </w:r>
    </w:p>
    <w:p w14:paraId="1D822F8B"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Regolamento (UE) 2014/651 della Commissione, del 17 giugno 2014, che dichiara alcune categorie di aiuti compatibili con il mercato interno in applicazione degli articoli 107 e 108 del trattato,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w:t>
      </w:r>
    </w:p>
    <w:p w14:paraId="2666A22B"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Comunicazione della Commissione 2016/C 262/01 sulla nozione di aiuto di Stato di cui all'articolo 107, paragrafo 1, del trattato sul funzionamento dell'Unione Europea;</w:t>
      </w:r>
    </w:p>
    <w:p w14:paraId="4A6807B7"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Legge 30 dicembre 2020, n. 178 recante: «Bilancio di previsione dello Stato per l'anno finanziario 2021 e bilancio pluriennale per il triennio 2021-2023», (pubblicata nel Supplemento ordinario n. 46/L alla Gazzetta Ufficiale - Serie generale - n. 322 del 30 dicembre 2020);</w:t>
      </w:r>
    </w:p>
    <w:p w14:paraId="13FCC4E2"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proofErr w:type="gramStart"/>
      <w:r w:rsidRPr="001845CA">
        <w:rPr>
          <w:rFonts w:ascii="Titillium" w:hAnsi="Titillium" w:cstheme="minorHAnsi"/>
          <w:sz w:val="20"/>
          <w:szCs w:val="20"/>
        </w:rPr>
        <w:t>Decreto Legge</w:t>
      </w:r>
      <w:proofErr w:type="gramEnd"/>
      <w:r w:rsidRPr="001845CA">
        <w:rPr>
          <w:rFonts w:ascii="Titillium" w:hAnsi="Titillium" w:cstheme="minorHAnsi"/>
          <w:sz w:val="20"/>
          <w:szCs w:val="20"/>
        </w:rPr>
        <w:t xml:space="preserve"> 31 maggio 2021, n. 77 (in Gazzetta Ufficiale - Serie generale - n. 129 del 31 maggio 2021 - Edizione straordinaria), convertito in legge 29 luglio 2021, n. 108 recante: «Governance del Piano nazionale di ripresa e resilienza e prime misure di rafforzamento delle strutture amministrative e di accelerazione e snellimento delle procedure.». (21A04731)</w:t>
      </w:r>
      <w:r w:rsidRPr="001845CA">
        <w:rPr>
          <w:rFonts w:ascii="Calibri" w:hAnsi="Calibri" w:cs="Calibri"/>
          <w:sz w:val="20"/>
          <w:szCs w:val="20"/>
        </w:rPr>
        <w:t> </w:t>
      </w:r>
      <w:hyperlink r:id="rId9" w:tgtFrame="_blank" w:history="1">
        <w:r w:rsidRPr="001845CA">
          <w:rPr>
            <w:rFonts w:ascii="Titillium" w:hAnsi="Titillium" w:cstheme="minorHAnsi"/>
            <w:sz w:val="20"/>
            <w:szCs w:val="20"/>
          </w:rPr>
          <w:t>(GU Serie Generale n.181 del 30-07-2021 - Suppl. Ordinario n. 26)</w:t>
        </w:r>
      </w:hyperlink>
      <w:r w:rsidRPr="001845CA">
        <w:rPr>
          <w:rFonts w:ascii="Titillium" w:hAnsi="Titillium" w:cstheme="minorHAnsi"/>
          <w:sz w:val="20"/>
          <w:szCs w:val="20"/>
        </w:rPr>
        <w:t>;</w:t>
      </w:r>
    </w:p>
    <w:p w14:paraId="6319DDED"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Decreto interministeriale del MIUR-MISE prot. 116 del 24 gennaio 2018, che reca “Semplificazione in materia di costi a valere sui programmi operativi FESR 2014-2020: approvazione della metodologia di calcolo e delle tabelle dei costi standard unitari per le spese del personale dei progetti di ricerca e sviluppo sperimentale”;</w:t>
      </w:r>
    </w:p>
    <w:p w14:paraId="7263C667"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Piano Nazionale di Ripresa e Resilienza (di seguito “PNRR”), ufficialmente presentato alla Commissione Europea in data 30 aprile 2021 ai sensi dell’art. 18 del Regolamento (UE) n. 2021/241 e valutato positivamente con Decisione del Consiglio ECOFIN del 13 luglio 2021 e notificato all’Italia dal Segretariato generale del Consiglio con nota LT161/21, del 14 luglio 2021;</w:t>
      </w:r>
    </w:p>
    <w:p w14:paraId="78BF608A"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Linee Guida definite dal Ministero dell’Università e della Ricerca per le iniziative di sistema della M4C2, approvate con Decreto Ministeriale n. 1141 del 7 ottobre 2021, condivise con la Cabina di Regia del PNRR;</w:t>
      </w:r>
    </w:p>
    <w:p w14:paraId="60E7898A" w14:textId="77777777" w:rsidR="001845CA" w:rsidRPr="001845CA"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Decreto Ministeriale 14 dicembre 2021, n. 1314, recante “Disposizioni per la concessione delle agevolazioni finanziarie”, emanato dal MUR in attuazione della suindicata riforma 1.1 della M4C2 e successivamente modificato con Decreto Direttoriale 24 dicembre 2021, n. 1368;</w:t>
      </w:r>
    </w:p>
    <w:p w14:paraId="2D945344"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1845CA">
        <w:rPr>
          <w:rFonts w:ascii="Titillium" w:hAnsi="Titillium"/>
          <w:sz w:val="20"/>
          <w:szCs w:val="20"/>
        </w:rPr>
        <w:t xml:space="preserve">Avviso pubblico per la presentazione di Proposte di intervento per la creazione di “Partenariati estesi alle università, ai centri di ricerca, alle aziende per il finanziamento di progetti di ricerca di base” </w:t>
      </w:r>
      <w:r w:rsidRPr="001845CA">
        <w:rPr>
          <w:rFonts w:ascii="Titillium" w:hAnsi="Titillium" w:cstheme="minorHAnsi"/>
          <w:sz w:val="20"/>
          <w:szCs w:val="20"/>
        </w:rPr>
        <w:t xml:space="preserve">da finanziare nell’ambito del Piano Nazionale di Ripresa </w:t>
      </w:r>
      <w:r w:rsidRPr="001845CA">
        <w:rPr>
          <w:rFonts w:ascii="Titillium" w:hAnsi="Titillium" w:cstheme="minorHAnsi"/>
          <w:sz w:val="20"/>
          <w:szCs w:val="20"/>
        </w:rPr>
        <w:lastRenderedPageBreak/>
        <w:t xml:space="preserve">e </w:t>
      </w:r>
      <w:r w:rsidRPr="00C836AD">
        <w:rPr>
          <w:rFonts w:ascii="Titillium" w:hAnsi="Titillium" w:cstheme="minorHAnsi"/>
          <w:sz w:val="20"/>
          <w:szCs w:val="20"/>
        </w:rPr>
        <w:t xml:space="preserve">Resilienza, Missione 4 Componente 2 Investimento 1.3 finanziato dall’Unione europea – </w:t>
      </w:r>
      <w:proofErr w:type="spellStart"/>
      <w:r w:rsidRPr="00C836AD">
        <w:rPr>
          <w:rFonts w:ascii="Titillium" w:hAnsi="Titillium" w:cstheme="minorHAnsi"/>
          <w:sz w:val="20"/>
          <w:szCs w:val="20"/>
        </w:rPr>
        <w:t>NextGenerationEU</w:t>
      </w:r>
      <w:proofErr w:type="spellEnd"/>
      <w:r w:rsidRPr="00C836AD">
        <w:rPr>
          <w:rFonts w:ascii="Titillium" w:hAnsi="Titillium" w:cstheme="minorHAnsi"/>
          <w:sz w:val="20"/>
          <w:szCs w:val="20"/>
        </w:rPr>
        <w:t xml:space="preserve">, di cui all’Avviso decreto n° 341 del 15 </w:t>
      </w:r>
      <w:proofErr w:type="gramStart"/>
      <w:r w:rsidRPr="00C836AD">
        <w:rPr>
          <w:rFonts w:ascii="Titillium" w:hAnsi="Titillium" w:cstheme="minorHAnsi"/>
          <w:sz w:val="20"/>
          <w:szCs w:val="20"/>
        </w:rPr>
        <w:t>Marzo</w:t>
      </w:r>
      <w:proofErr w:type="gramEnd"/>
      <w:r w:rsidRPr="00C836AD">
        <w:rPr>
          <w:rFonts w:ascii="Titillium" w:hAnsi="Titillium" w:cstheme="minorHAnsi"/>
          <w:sz w:val="20"/>
          <w:szCs w:val="20"/>
        </w:rPr>
        <w:t xml:space="preserve"> 2022;</w:t>
      </w:r>
    </w:p>
    <w:p w14:paraId="2E4B3344"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21 del Ministero dell’Economia e delle Finanze del 14 ottobre 2021 avente ad oggetto “Piano Nazionale di Ripresa e Resilienza (PNRR) - Trasmissione delle Istruzioni Tecniche per la selezione dei progetti PNRR”;</w:t>
      </w:r>
    </w:p>
    <w:p w14:paraId="15FA9032"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25 del Ministero dell’Economia e delle Finanze del 29 ottobre 2021, avente ad oggetto “Piano Nazionale di Ripresa e Resilienza (PNRR) – Rilevazione periodica avvisi, bandi e altre procedure di attivazione degli investimenti”;</w:t>
      </w:r>
    </w:p>
    <w:p w14:paraId="487A957F"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32 del Ministero dell’Economia e delle Finanze del 30 dicembre 2021 avente ad oggetto “Piano Nazionale di Ripresa e Resilienza (PNRR) – Guida operativa per il rispetto del principio di non arrecare danno significativo all’ambiente (DNSH)”;</w:t>
      </w:r>
    </w:p>
    <w:p w14:paraId="21C5FFFB"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33 del Ministero dell’Economia e delle Finanze del 31 dicembre 2021 avente ad oggetto “Nota di chiarimento sulla Circolare del 14 ottobre 2021, n. 21 - Trasmissione delle Istruzioni Tecniche per la selezione dei progetti PNRR – Addizionalità, finanziamento complementare e obbligo di assenza del c.d. doppio finanziamento”;</w:t>
      </w:r>
    </w:p>
    <w:p w14:paraId="43FA07AA"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4 del Ministero dell’Economia e delle Finanze del 18 gennaio 2022, avente ad oggetto “Piano Nazionale di Ripresa e Resilienza (PNRR) – articolo 1, comma 1, del decreto-legge n. 80 del 2021 - Indicazioni attuative”;</w:t>
      </w:r>
    </w:p>
    <w:p w14:paraId="6A04E989"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6 del Ministero dell’Economia e delle Finanze del 24 gennaio 2022, avente ad oggetto “Piano Nazionale di Ripresa e Resilienza (PNRR) – Servizi di assistenza tecnica per le Amministrazioni titolari di interventi e soggetti attuatori del PNRR”;</w:t>
      </w:r>
    </w:p>
    <w:p w14:paraId="5980125F"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9 del Ministero dell’Economia e delle Finanze del 10 febbraio 2022, recante “Piano Nazionale di Ripresa e Resilienza (PNRR) – Trasmissione delle Istruzioni tecniche per la redazione dei sistemi di gestione e controllo delle amministrazioni centrali titolari di interventi del PNRR”;</w:t>
      </w:r>
    </w:p>
    <w:p w14:paraId="214DAC0B"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Circolare n. 21 del Ministero dell’Economia e delle Finanze del 29 aprile 2022, avente ad oggetto “Piano Nazionale di Ripresa e Resilienza (PNRR) e Piano nazionale per gli investimenti complementari - Chiarimenti in relazione al riferimento alla disciplina nazionale in materia di contratti pubblici richiamata nei dispositivi attuativi relativi agli interventi PNRR e PNC”;</w:t>
      </w:r>
    </w:p>
    <w:p w14:paraId="3BCDDA31"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Decreto Interministeriale del 7 dicembre 2021 che adotta le linee guida volte a favorire la pari opportunità di genere e generazionali, nonché l’inclusione lavorativa delle persone con disabilità nei contratti pubblici finanziati con le risorse del PNRR e del PNC;</w:t>
      </w:r>
    </w:p>
    <w:p w14:paraId="63386C7B"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Nota del Ministero dell’Economia e delle Finanze – Servizio centrale per il PNRR del 7 marzo 2022, n. 3609;</w:t>
      </w:r>
    </w:p>
    <w:p w14:paraId="06A68CFE"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Nota del Ministero della Transizione Ecologica del 17 marzo 2022, n. 34710, avente ad oggetto chiarimenti in merito agli adempimenti VAS e DNSH;</w:t>
      </w:r>
    </w:p>
    <w:p w14:paraId="3E7BABBD" w14:textId="77777777" w:rsidR="001845CA" w:rsidRPr="00C836AD" w:rsidRDefault="001845CA" w:rsidP="00FE6FB9">
      <w:pPr>
        <w:pStyle w:val="Paragrafoelenco"/>
        <w:numPr>
          <w:ilvl w:val="0"/>
          <w:numId w:val="1"/>
        </w:numPr>
        <w:tabs>
          <w:tab w:val="left" w:pos="0"/>
        </w:tabs>
        <w:spacing w:before="240" w:after="160"/>
        <w:ind w:left="-180"/>
        <w:jc w:val="both"/>
        <w:rPr>
          <w:rFonts w:ascii="Titillium" w:hAnsi="Titillium" w:cstheme="minorHAnsi"/>
          <w:sz w:val="20"/>
          <w:szCs w:val="20"/>
        </w:rPr>
      </w:pPr>
      <w:r w:rsidRPr="00C836AD">
        <w:rPr>
          <w:rFonts w:ascii="Titillium" w:hAnsi="Titillium" w:cstheme="minorHAnsi"/>
          <w:sz w:val="20"/>
          <w:szCs w:val="20"/>
        </w:rPr>
        <w:t>Decreto Direttoriale n. 1243 del 2 agosto 2022, con il quale sono state approvate le graduatorie delle proposte pervenute in risposta all’Avviso, con la contestuale ammissione alla successiva Fase 2 delle suddette proposte, ai sensi dell’art. 12 dell’Avviso;</w:t>
      </w:r>
    </w:p>
    <w:p w14:paraId="297845BB" w14:textId="77777777" w:rsidR="001845CA" w:rsidRPr="00C836AD" w:rsidRDefault="001845CA" w:rsidP="00FE6FB9">
      <w:pPr>
        <w:pStyle w:val="Paragrafoelenco"/>
        <w:numPr>
          <w:ilvl w:val="0"/>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Decreto Direttoriale n. 1549 del 11/10/2022, di ammissione a finanziamento della domanda di agevolazione presentata dal Partenariato Esteso “</w:t>
      </w:r>
      <w:proofErr w:type="spellStart"/>
      <w:r w:rsidRPr="00C836AD">
        <w:rPr>
          <w:rFonts w:ascii="Titillium" w:hAnsi="Titillium" w:cstheme="minorHAnsi"/>
          <w:sz w:val="20"/>
          <w:szCs w:val="20"/>
        </w:rPr>
        <w:t>RESearch</w:t>
      </w:r>
      <w:proofErr w:type="spellEnd"/>
      <w:r w:rsidRPr="00C836AD">
        <w:rPr>
          <w:rFonts w:ascii="Titillium" w:hAnsi="Titillium" w:cstheme="minorHAnsi"/>
          <w:sz w:val="20"/>
          <w:szCs w:val="20"/>
        </w:rPr>
        <w:t xml:space="preserve"> and </w:t>
      </w:r>
      <w:proofErr w:type="spellStart"/>
      <w:r w:rsidRPr="00C836AD">
        <w:rPr>
          <w:rFonts w:ascii="Titillium" w:hAnsi="Titillium" w:cstheme="minorHAnsi"/>
          <w:sz w:val="20"/>
          <w:szCs w:val="20"/>
        </w:rPr>
        <w:t>innovation</w:t>
      </w:r>
      <w:proofErr w:type="spellEnd"/>
      <w:r w:rsidRPr="00C836AD">
        <w:rPr>
          <w:rFonts w:ascii="Titillium" w:hAnsi="Titillium" w:cstheme="minorHAnsi"/>
          <w:sz w:val="20"/>
          <w:szCs w:val="20"/>
        </w:rPr>
        <w:t xml:space="preserve"> on future </w:t>
      </w:r>
      <w:proofErr w:type="spellStart"/>
      <w:r w:rsidRPr="00C836AD">
        <w:rPr>
          <w:rFonts w:ascii="Titillium" w:hAnsi="Titillium" w:cstheme="minorHAnsi"/>
          <w:sz w:val="20"/>
          <w:szCs w:val="20"/>
        </w:rPr>
        <w:t>Telecommunications</w:t>
      </w:r>
      <w:proofErr w:type="spellEnd"/>
      <w:r w:rsidRPr="00C836AD">
        <w:rPr>
          <w:rFonts w:ascii="Titillium" w:hAnsi="Titillium" w:cstheme="minorHAnsi"/>
          <w:sz w:val="20"/>
          <w:szCs w:val="20"/>
        </w:rPr>
        <w:t xml:space="preserve"> systems and networks, to make </w:t>
      </w:r>
      <w:proofErr w:type="spellStart"/>
      <w:r w:rsidRPr="00C836AD">
        <w:rPr>
          <w:rFonts w:ascii="Titillium" w:hAnsi="Titillium" w:cstheme="minorHAnsi"/>
          <w:sz w:val="20"/>
          <w:szCs w:val="20"/>
        </w:rPr>
        <w:t>Italy</w:t>
      </w:r>
      <w:proofErr w:type="spellEnd"/>
      <w:r w:rsidRPr="00C836AD">
        <w:rPr>
          <w:rFonts w:ascii="Titillium" w:hAnsi="Titillium" w:cstheme="minorHAnsi"/>
          <w:sz w:val="20"/>
          <w:szCs w:val="20"/>
        </w:rPr>
        <w:t xml:space="preserve"> more </w:t>
      </w:r>
      <w:proofErr w:type="spellStart"/>
      <w:r w:rsidRPr="00C836AD">
        <w:rPr>
          <w:rFonts w:ascii="Titillium" w:hAnsi="Titillium" w:cstheme="minorHAnsi"/>
          <w:sz w:val="20"/>
          <w:szCs w:val="20"/>
        </w:rPr>
        <w:t>smART</w:t>
      </w:r>
      <w:proofErr w:type="spellEnd"/>
      <w:r w:rsidRPr="00C836AD">
        <w:rPr>
          <w:rFonts w:ascii="Titillium" w:hAnsi="Titillium" w:cstheme="minorHAnsi"/>
          <w:sz w:val="20"/>
          <w:szCs w:val="20"/>
        </w:rPr>
        <w:t>”, tematica n.14 “Telecomunicazioni del futuro”,  contrassegnato dal codice identificativo PE00000001, per la realizzazione del Programma di Ricerca dal titolo “</w:t>
      </w:r>
      <w:proofErr w:type="spellStart"/>
      <w:r w:rsidRPr="00C836AD">
        <w:rPr>
          <w:rFonts w:ascii="Titillium" w:hAnsi="Titillium" w:cstheme="minorHAnsi"/>
          <w:sz w:val="20"/>
          <w:szCs w:val="20"/>
        </w:rPr>
        <w:t>RESearch</w:t>
      </w:r>
      <w:proofErr w:type="spellEnd"/>
      <w:r w:rsidRPr="00C836AD">
        <w:rPr>
          <w:rFonts w:ascii="Titillium" w:hAnsi="Titillium" w:cstheme="minorHAnsi"/>
          <w:sz w:val="20"/>
          <w:szCs w:val="20"/>
        </w:rPr>
        <w:t xml:space="preserve"> and </w:t>
      </w:r>
      <w:proofErr w:type="spellStart"/>
      <w:r w:rsidRPr="00C836AD">
        <w:rPr>
          <w:rFonts w:ascii="Titillium" w:hAnsi="Titillium" w:cstheme="minorHAnsi"/>
          <w:sz w:val="20"/>
          <w:szCs w:val="20"/>
        </w:rPr>
        <w:t>innovation</w:t>
      </w:r>
      <w:proofErr w:type="spellEnd"/>
      <w:r w:rsidRPr="00C836AD">
        <w:rPr>
          <w:rFonts w:ascii="Titillium" w:hAnsi="Titillium" w:cstheme="minorHAnsi"/>
          <w:sz w:val="20"/>
          <w:szCs w:val="20"/>
        </w:rPr>
        <w:t xml:space="preserve"> on future </w:t>
      </w:r>
      <w:proofErr w:type="spellStart"/>
      <w:r w:rsidRPr="00C836AD">
        <w:rPr>
          <w:rFonts w:ascii="Titillium" w:hAnsi="Titillium" w:cstheme="minorHAnsi"/>
          <w:sz w:val="20"/>
          <w:szCs w:val="20"/>
        </w:rPr>
        <w:t>Telecommunications</w:t>
      </w:r>
      <w:proofErr w:type="spellEnd"/>
      <w:r w:rsidRPr="00C836AD">
        <w:rPr>
          <w:rFonts w:ascii="Titillium" w:hAnsi="Titillium" w:cstheme="minorHAnsi"/>
          <w:sz w:val="20"/>
          <w:szCs w:val="20"/>
        </w:rPr>
        <w:t xml:space="preserve"> systems and networks, to make </w:t>
      </w:r>
      <w:proofErr w:type="spellStart"/>
      <w:r w:rsidRPr="00C836AD">
        <w:rPr>
          <w:rFonts w:ascii="Titillium" w:hAnsi="Titillium" w:cstheme="minorHAnsi"/>
          <w:sz w:val="20"/>
          <w:szCs w:val="20"/>
        </w:rPr>
        <w:t>Italy</w:t>
      </w:r>
      <w:proofErr w:type="spellEnd"/>
      <w:r w:rsidRPr="00C836AD">
        <w:rPr>
          <w:rFonts w:ascii="Titillium" w:hAnsi="Titillium" w:cstheme="minorHAnsi"/>
          <w:sz w:val="20"/>
          <w:szCs w:val="20"/>
        </w:rPr>
        <w:t xml:space="preserve"> more </w:t>
      </w:r>
      <w:proofErr w:type="spellStart"/>
      <w:r w:rsidRPr="00C836AD">
        <w:rPr>
          <w:rFonts w:ascii="Titillium" w:hAnsi="Titillium" w:cstheme="minorHAnsi"/>
          <w:sz w:val="20"/>
          <w:szCs w:val="20"/>
        </w:rPr>
        <w:t>smART</w:t>
      </w:r>
      <w:proofErr w:type="spellEnd"/>
      <w:r w:rsidRPr="00C836AD">
        <w:rPr>
          <w:rFonts w:ascii="Titillium" w:hAnsi="Titillium" w:cstheme="minorHAnsi"/>
          <w:sz w:val="20"/>
          <w:szCs w:val="20"/>
        </w:rPr>
        <w:t>” e relativi allegati.</w:t>
      </w:r>
    </w:p>
    <w:p w14:paraId="0617E922" w14:textId="77777777" w:rsidR="001845CA" w:rsidRPr="00C836AD" w:rsidRDefault="001845CA" w:rsidP="00FE6FB9">
      <w:pPr>
        <w:pStyle w:val="Paragrafoelenco"/>
        <w:numPr>
          <w:ilvl w:val="1"/>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Allegato A – Programma di Ricerca e Innovazione;</w:t>
      </w:r>
    </w:p>
    <w:p w14:paraId="5E577ACB" w14:textId="77777777" w:rsidR="001845CA" w:rsidRPr="00C836AD" w:rsidRDefault="001845CA" w:rsidP="00FE6FB9">
      <w:pPr>
        <w:pStyle w:val="Paragrafoelenco"/>
        <w:numPr>
          <w:ilvl w:val="1"/>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Allegato B – Piano dei Costi e delle Agevolazioni;</w:t>
      </w:r>
    </w:p>
    <w:p w14:paraId="5D0E957C" w14:textId="77777777" w:rsidR="001845CA" w:rsidRPr="00C836AD" w:rsidRDefault="001845CA" w:rsidP="00FE6FB9">
      <w:pPr>
        <w:pStyle w:val="Paragrafoelenco"/>
        <w:numPr>
          <w:ilvl w:val="1"/>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Allegato C – Cronoprogramma di attuazione e Piano dei pagamenti;</w:t>
      </w:r>
    </w:p>
    <w:p w14:paraId="1389AACA" w14:textId="77777777" w:rsidR="001845CA" w:rsidRPr="00C836AD" w:rsidRDefault="001845CA" w:rsidP="00FE6FB9">
      <w:pPr>
        <w:pStyle w:val="Paragrafoelenco"/>
        <w:numPr>
          <w:ilvl w:val="1"/>
          <w:numId w:val="1"/>
        </w:numPr>
        <w:tabs>
          <w:tab w:val="left" w:pos="1701"/>
        </w:tabs>
        <w:spacing w:before="240" w:after="160"/>
        <w:ind w:left="-180"/>
        <w:jc w:val="both"/>
        <w:rPr>
          <w:rFonts w:ascii="Titillium" w:hAnsi="Titillium" w:cstheme="minorHAnsi"/>
          <w:sz w:val="20"/>
          <w:szCs w:val="20"/>
        </w:rPr>
      </w:pPr>
      <w:r w:rsidRPr="00C836AD">
        <w:rPr>
          <w:rFonts w:ascii="Titillium" w:hAnsi="Titillium" w:cstheme="minorHAnsi"/>
          <w:sz w:val="20"/>
          <w:szCs w:val="20"/>
        </w:rPr>
        <w:t>Allegato D – Disciplinare di concessione delle agevolazioni;</w:t>
      </w:r>
    </w:p>
    <w:p w14:paraId="2369BAB6" w14:textId="77777777" w:rsidR="001845CA" w:rsidRPr="00C836AD" w:rsidRDefault="001845CA" w:rsidP="00FE6FB9">
      <w:pPr>
        <w:pStyle w:val="Paragrafoelenco"/>
        <w:numPr>
          <w:ilvl w:val="1"/>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Allegato E – Codici Unici di Progetto (CUP) e Codici Concessione RNA – COR.</w:t>
      </w:r>
    </w:p>
    <w:p w14:paraId="2A2C9BDB" w14:textId="77777777" w:rsidR="001845CA" w:rsidRPr="00C836AD" w:rsidRDefault="001845CA" w:rsidP="00FE6FB9">
      <w:pPr>
        <w:pStyle w:val="Paragrafoelenco"/>
        <w:numPr>
          <w:ilvl w:val="0"/>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Atto d’Obbligo e di Accettazione sottoscritto dall’Hub in data 07/12/2022.</w:t>
      </w:r>
    </w:p>
    <w:p w14:paraId="25D5D484" w14:textId="77777777" w:rsidR="00186E73" w:rsidRPr="00C836AD" w:rsidRDefault="00186E73" w:rsidP="00FE6FB9">
      <w:pPr>
        <w:pStyle w:val="Paragrafoelenco"/>
        <w:numPr>
          <w:ilvl w:val="0"/>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 xml:space="preserve">Accordo e Addendum HUB, </w:t>
      </w:r>
      <w:proofErr w:type="spellStart"/>
      <w:r w:rsidRPr="00C836AD">
        <w:rPr>
          <w:rFonts w:ascii="Titillium" w:hAnsi="Titillium" w:cstheme="minorHAnsi"/>
          <w:sz w:val="20"/>
          <w:szCs w:val="20"/>
        </w:rPr>
        <w:t>Spoke</w:t>
      </w:r>
      <w:proofErr w:type="spellEnd"/>
      <w:r w:rsidRPr="00C836AD">
        <w:rPr>
          <w:rFonts w:ascii="Titillium" w:hAnsi="Titillium" w:cstheme="minorHAnsi"/>
          <w:sz w:val="20"/>
          <w:szCs w:val="20"/>
        </w:rPr>
        <w:t xml:space="preserve"> e Affiliati della Fondazione RESTART sottoscritto il 05/07/2023.</w:t>
      </w:r>
    </w:p>
    <w:p w14:paraId="5F3C42A6" w14:textId="0CEFF912" w:rsidR="00186E73" w:rsidRPr="00C836AD" w:rsidRDefault="00186E73" w:rsidP="00FE6FB9">
      <w:pPr>
        <w:pStyle w:val="Paragrafoelenco"/>
        <w:numPr>
          <w:ilvl w:val="0"/>
          <w:numId w:val="1"/>
        </w:numPr>
        <w:spacing w:before="240" w:after="160"/>
        <w:ind w:left="-180"/>
        <w:jc w:val="both"/>
        <w:rPr>
          <w:rFonts w:ascii="Titillium" w:hAnsi="Titillium" w:cstheme="minorHAnsi"/>
          <w:sz w:val="20"/>
          <w:szCs w:val="20"/>
        </w:rPr>
      </w:pPr>
      <w:r w:rsidRPr="00C836AD">
        <w:rPr>
          <w:rFonts w:ascii="Titillium" w:hAnsi="Titillium" w:cstheme="minorHAnsi"/>
          <w:sz w:val="20"/>
          <w:szCs w:val="20"/>
        </w:rPr>
        <w:t>Bando n. __ “</w:t>
      </w:r>
      <w:r w:rsidR="002A467C" w:rsidRPr="00C836AD">
        <w:rPr>
          <w:rFonts w:ascii="Titillium" w:hAnsi="Titillium" w:cstheme="minorHAnsi"/>
          <w:sz w:val="20"/>
          <w:szCs w:val="20"/>
        </w:rPr>
        <w:t>Bando a Cascata verso Enti Pubblici e/o Enti Privati</w:t>
      </w:r>
      <w:r w:rsidRPr="00C836AD">
        <w:rPr>
          <w:rFonts w:ascii="Titillium" w:hAnsi="Titillium" w:cstheme="minorHAnsi"/>
          <w:sz w:val="20"/>
          <w:szCs w:val="20"/>
        </w:rPr>
        <w:t>” e relativi allegati del __/__/____ pubblicato sul sito web: ____</w:t>
      </w:r>
    </w:p>
    <w:p w14:paraId="0C63DBD5" w14:textId="77777777" w:rsidR="001845CA" w:rsidRPr="001845CA" w:rsidRDefault="001845CA" w:rsidP="00A77813">
      <w:pPr>
        <w:pStyle w:val="Titolo1"/>
        <w:spacing w:line="240" w:lineRule="auto"/>
        <w:ind w:left="-180"/>
        <w:rPr>
          <w:rFonts w:ascii="Titillium" w:hAnsi="Titillium"/>
          <w:sz w:val="20"/>
          <w:szCs w:val="20"/>
        </w:rPr>
      </w:pPr>
      <w:bookmarkStart w:id="3" w:name="_Ref112322088"/>
      <w:r w:rsidRPr="00C836AD">
        <w:rPr>
          <w:rFonts w:ascii="Titillium" w:hAnsi="Titillium"/>
          <w:sz w:val="20"/>
          <w:szCs w:val="20"/>
        </w:rPr>
        <w:t>Art. 4 - Oggetto</w:t>
      </w:r>
      <w:bookmarkEnd w:id="3"/>
    </w:p>
    <w:p w14:paraId="6DF5217D" w14:textId="0EF7C353" w:rsidR="001845CA" w:rsidRPr="001845CA" w:rsidRDefault="00B61836" w:rsidP="00A77813">
      <w:pPr>
        <w:tabs>
          <w:tab w:val="left" w:pos="0"/>
        </w:tabs>
        <w:spacing w:before="240"/>
        <w:ind w:left="-180"/>
        <w:jc w:val="both"/>
        <w:rPr>
          <w:rFonts w:ascii="Titillium" w:hAnsi="Titillium" w:cstheme="minorHAnsi"/>
          <w:sz w:val="20"/>
          <w:szCs w:val="20"/>
        </w:rPr>
      </w:pPr>
      <w:r>
        <w:rPr>
          <w:rFonts w:ascii="Titillium" w:hAnsi="Titillium" w:cstheme="minorHAnsi"/>
          <w:sz w:val="20"/>
          <w:szCs w:val="20"/>
        </w:rPr>
        <w:t xml:space="preserve">Il </w:t>
      </w:r>
      <w:r w:rsidR="001845CA" w:rsidRPr="001845CA">
        <w:rPr>
          <w:rFonts w:ascii="Titillium" w:hAnsi="Titillium" w:cstheme="minorHAnsi"/>
          <w:sz w:val="20"/>
          <w:szCs w:val="20"/>
        </w:rPr>
        <w:t xml:space="preserve">presente </w:t>
      </w:r>
      <w:r>
        <w:rPr>
          <w:rFonts w:ascii="Titillium" w:hAnsi="Titillium" w:cstheme="minorHAnsi"/>
          <w:sz w:val="20"/>
          <w:szCs w:val="20"/>
        </w:rPr>
        <w:t xml:space="preserve">accordo </w:t>
      </w:r>
      <w:r w:rsidR="001845CA" w:rsidRPr="001845CA">
        <w:rPr>
          <w:rFonts w:ascii="Titillium" w:hAnsi="Titillium" w:cstheme="minorHAnsi"/>
          <w:sz w:val="20"/>
          <w:szCs w:val="20"/>
        </w:rPr>
        <w:t>disciplina i rapporti tra le Parti per la realizzazione del Programma di ricerca “</w:t>
      </w:r>
      <w:r w:rsidR="00005B3B">
        <w:rPr>
          <w:rFonts w:ascii="Titillium" w:hAnsi="Titillium" w:cstheme="minorHAnsi"/>
          <w:sz w:val="20"/>
          <w:szCs w:val="20"/>
        </w:rPr>
        <w:t>…</w:t>
      </w:r>
      <w:r w:rsidR="001845CA" w:rsidRPr="001845CA">
        <w:rPr>
          <w:rFonts w:ascii="Titillium" w:hAnsi="Titillium" w:cstheme="minorHAnsi"/>
          <w:sz w:val="20"/>
          <w:szCs w:val="20"/>
        </w:rPr>
        <w:t xml:space="preserve">”, di cui </w:t>
      </w:r>
      <w:r w:rsidR="001845CA" w:rsidRPr="00C836AD">
        <w:rPr>
          <w:rFonts w:ascii="Titillium" w:hAnsi="Titillium" w:cstheme="minorHAnsi"/>
          <w:sz w:val="20"/>
          <w:szCs w:val="20"/>
          <w:highlight w:val="green"/>
        </w:rPr>
        <w:t xml:space="preserve">all’Allegato </w:t>
      </w:r>
      <w:r w:rsidR="00C836AD" w:rsidRPr="00C836AD">
        <w:rPr>
          <w:rFonts w:ascii="Titillium" w:hAnsi="Titillium" w:cstheme="minorHAnsi"/>
          <w:sz w:val="20"/>
          <w:szCs w:val="20"/>
          <w:highlight w:val="green"/>
        </w:rPr>
        <w:t>X</w:t>
      </w:r>
    </w:p>
    <w:p w14:paraId="33B80264" w14:textId="586D7359" w:rsidR="002A467C" w:rsidRPr="008A762E" w:rsidRDefault="00B61836" w:rsidP="002A467C">
      <w:pPr>
        <w:tabs>
          <w:tab w:val="left" w:pos="0"/>
        </w:tabs>
        <w:spacing w:before="240"/>
        <w:ind w:left="-180"/>
        <w:jc w:val="both"/>
        <w:rPr>
          <w:rFonts w:ascii="Titillium" w:hAnsi="Titillium" w:cstheme="minorHAnsi"/>
          <w:sz w:val="20"/>
          <w:szCs w:val="20"/>
        </w:rPr>
      </w:pPr>
      <w:r>
        <w:rPr>
          <w:rFonts w:ascii="Titillium" w:hAnsi="Titillium" w:cstheme="minorHAnsi"/>
          <w:sz w:val="20"/>
          <w:szCs w:val="20"/>
        </w:rPr>
        <w:lastRenderedPageBreak/>
        <w:t xml:space="preserve">Il presente accordo </w:t>
      </w:r>
      <w:r w:rsidR="002A467C" w:rsidRPr="008A762E">
        <w:rPr>
          <w:rFonts w:ascii="Titillium" w:hAnsi="Titillium" w:cstheme="minorHAnsi"/>
          <w:sz w:val="20"/>
          <w:szCs w:val="20"/>
        </w:rPr>
        <w:t xml:space="preserve">attua le disposizioni del </w:t>
      </w:r>
      <w:r w:rsidR="002A467C" w:rsidRPr="008A762E">
        <w:rPr>
          <w:rFonts w:ascii="Titillium" w:hAnsi="Titillium" w:cstheme="minorHAnsi"/>
          <w:sz w:val="20"/>
          <w:szCs w:val="20"/>
          <w:highlight w:val="green"/>
        </w:rPr>
        <w:t xml:space="preserve">Bando n. __ “Bando a cascata dello </w:t>
      </w:r>
      <w:proofErr w:type="spellStart"/>
      <w:r w:rsidR="002A467C" w:rsidRPr="008A762E">
        <w:rPr>
          <w:rFonts w:ascii="Titillium" w:hAnsi="Titillium" w:cstheme="minorHAnsi"/>
          <w:sz w:val="20"/>
          <w:szCs w:val="20"/>
          <w:highlight w:val="green"/>
        </w:rPr>
        <w:t>Spoke</w:t>
      </w:r>
      <w:proofErr w:type="spellEnd"/>
      <w:r w:rsidR="002A467C" w:rsidRPr="008A762E">
        <w:rPr>
          <w:rFonts w:ascii="Titillium" w:hAnsi="Titillium" w:cstheme="minorHAnsi"/>
          <w:sz w:val="20"/>
          <w:szCs w:val="20"/>
          <w:highlight w:val="green"/>
        </w:rPr>
        <w:t xml:space="preserve"> ________” del __/__/____ pubblicato sul sito web: ____,</w:t>
      </w:r>
      <w:r w:rsidR="002A467C" w:rsidRPr="008A762E">
        <w:rPr>
          <w:rFonts w:ascii="Titillium" w:hAnsi="Titillium" w:cstheme="minorHAnsi"/>
          <w:sz w:val="20"/>
          <w:szCs w:val="20"/>
        </w:rPr>
        <w:t xml:space="preserve"> integrando in un solo accordo tutti gli specifici accordi tra lo </w:t>
      </w:r>
      <w:proofErr w:type="spellStart"/>
      <w:r w:rsidR="002A467C" w:rsidRPr="008A762E">
        <w:rPr>
          <w:rFonts w:ascii="Titillium" w:hAnsi="Titillium" w:cstheme="minorHAnsi"/>
          <w:sz w:val="20"/>
          <w:szCs w:val="20"/>
        </w:rPr>
        <w:t>Spoke</w:t>
      </w:r>
      <w:proofErr w:type="spellEnd"/>
      <w:r w:rsidR="002A467C" w:rsidRPr="008A762E">
        <w:rPr>
          <w:rFonts w:ascii="Titillium" w:hAnsi="Titillium" w:cstheme="minorHAnsi"/>
          <w:sz w:val="20"/>
          <w:szCs w:val="20"/>
        </w:rPr>
        <w:t xml:space="preserve"> e i Beneficiari, in particolare definisce gli obblighi delle Parti, le procedure di rendicontazione e di pagamento. </w:t>
      </w:r>
    </w:p>
    <w:p w14:paraId="1832FCF1" w14:textId="3855F4E2" w:rsidR="001845CA" w:rsidRPr="001845CA" w:rsidRDefault="001845CA" w:rsidP="00A77813">
      <w:pPr>
        <w:tabs>
          <w:tab w:val="left" w:pos="0"/>
        </w:tabs>
        <w:spacing w:before="240"/>
        <w:ind w:left="-180"/>
        <w:jc w:val="center"/>
        <w:rPr>
          <w:rFonts w:ascii="Titillium" w:hAnsi="Titillium" w:cstheme="minorHAnsi"/>
          <w:b/>
          <w:bCs/>
          <w:sz w:val="20"/>
          <w:szCs w:val="20"/>
        </w:rPr>
      </w:pPr>
      <w:r w:rsidRPr="001845CA">
        <w:rPr>
          <w:rFonts w:ascii="Titillium" w:hAnsi="Titillium" w:cstheme="minorHAnsi"/>
          <w:b/>
          <w:bCs/>
          <w:sz w:val="20"/>
          <w:szCs w:val="20"/>
        </w:rPr>
        <w:t xml:space="preserve">Art. 5 </w:t>
      </w:r>
      <w:r w:rsidR="00005B3B">
        <w:rPr>
          <w:rFonts w:ascii="Titillium" w:hAnsi="Titillium" w:cstheme="minorHAnsi"/>
          <w:b/>
          <w:bCs/>
          <w:sz w:val="20"/>
          <w:szCs w:val="20"/>
        </w:rPr>
        <w:t>–</w:t>
      </w:r>
      <w:r w:rsidRPr="001845CA">
        <w:rPr>
          <w:rFonts w:ascii="Titillium" w:hAnsi="Titillium" w:cstheme="minorHAnsi"/>
          <w:b/>
          <w:bCs/>
          <w:sz w:val="20"/>
          <w:szCs w:val="20"/>
        </w:rPr>
        <w:t xml:space="preserve"> </w:t>
      </w:r>
      <w:proofErr w:type="spellStart"/>
      <w:r w:rsidRPr="001845CA">
        <w:rPr>
          <w:rFonts w:ascii="Titillium" w:hAnsi="Titillium" w:cstheme="minorHAnsi"/>
          <w:b/>
          <w:bCs/>
          <w:sz w:val="20"/>
          <w:szCs w:val="20"/>
        </w:rPr>
        <w:t>S</w:t>
      </w:r>
      <w:r w:rsidR="00005B3B">
        <w:rPr>
          <w:rFonts w:ascii="Titillium" w:hAnsi="Titillium" w:cstheme="minorHAnsi"/>
          <w:b/>
          <w:bCs/>
          <w:sz w:val="20"/>
          <w:szCs w:val="20"/>
        </w:rPr>
        <w:t>poke</w:t>
      </w:r>
      <w:proofErr w:type="spellEnd"/>
      <w:r w:rsidR="00005B3B">
        <w:rPr>
          <w:rFonts w:ascii="Titillium" w:hAnsi="Titillium" w:cstheme="minorHAnsi"/>
          <w:b/>
          <w:bCs/>
          <w:sz w:val="20"/>
          <w:szCs w:val="20"/>
        </w:rPr>
        <w:t>, capofila e Beneficiari</w:t>
      </w:r>
    </w:p>
    <w:p w14:paraId="39233113" w14:textId="09512092" w:rsidR="00005B3B" w:rsidRDefault="00005B3B" w:rsidP="00A77813">
      <w:pPr>
        <w:tabs>
          <w:tab w:val="left" w:pos="0"/>
        </w:tabs>
        <w:spacing w:before="240"/>
        <w:ind w:left="-180"/>
        <w:jc w:val="both"/>
        <w:rPr>
          <w:rFonts w:ascii="Titillium" w:hAnsi="Titillium" w:cstheme="minorHAnsi"/>
          <w:sz w:val="20"/>
          <w:szCs w:val="20"/>
        </w:rPr>
      </w:pPr>
      <w:r>
        <w:rPr>
          <w:rFonts w:ascii="Titillium" w:hAnsi="Titillium" w:cstheme="minorHAnsi"/>
          <w:sz w:val="20"/>
          <w:szCs w:val="20"/>
        </w:rPr>
        <w:t xml:space="preserve">Lo </w:t>
      </w:r>
      <w:proofErr w:type="spellStart"/>
      <w:r>
        <w:rPr>
          <w:rFonts w:ascii="Titillium" w:hAnsi="Titillium" w:cstheme="minorHAnsi"/>
          <w:sz w:val="20"/>
          <w:szCs w:val="20"/>
        </w:rPr>
        <w:t>Spoke</w:t>
      </w:r>
      <w:proofErr w:type="spellEnd"/>
      <w:r>
        <w:rPr>
          <w:rFonts w:ascii="Titillium" w:hAnsi="Titillium" w:cstheme="minorHAnsi"/>
          <w:sz w:val="20"/>
          <w:szCs w:val="20"/>
        </w:rPr>
        <w:t xml:space="preserve"> r</w:t>
      </w:r>
      <w:r w:rsidR="001845CA" w:rsidRPr="001845CA">
        <w:rPr>
          <w:rFonts w:ascii="Titillium" w:hAnsi="Titillium" w:cstheme="minorHAnsi"/>
          <w:sz w:val="20"/>
          <w:szCs w:val="20"/>
        </w:rPr>
        <w:t xml:space="preserve">appresenta il referente unico per l’attuazione del </w:t>
      </w:r>
      <w:r w:rsidR="00555FCF">
        <w:rPr>
          <w:rFonts w:ascii="Titillium" w:hAnsi="Titillium" w:cstheme="minorHAnsi"/>
          <w:sz w:val="20"/>
          <w:szCs w:val="20"/>
        </w:rPr>
        <w:t>p</w:t>
      </w:r>
      <w:r w:rsidR="001845CA" w:rsidRPr="001845CA">
        <w:rPr>
          <w:rFonts w:ascii="Titillium" w:hAnsi="Titillium" w:cstheme="minorHAnsi"/>
          <w:sz w:val="20"/>
          <w:szCs w:val="20"/>
        </w:rPr>
        <w:t xml:space="preserve">rogetto nei confronti del MUR. </w:t>
      </w:r>
      <w:r>
        <w:rPr>
          <w:rFonts w:ascii="Titillium" w:hAnsi="Titillium" w:cstheme="minorHAnsi"/>
          <w:sz w:val="20"/>
          <w:szCs w:val="20"/>
        </w:rPr>
        <w:t xml:space="preserve"> </w:t>
      </w:r>
      <w:r w:rsidRPr="00005B3B">
        <w:rPr>
          <w:rFonts w:ascii="Titillium" w:hAnsi="Titillium" w:cstheme="minorHAnsi"/>
          <w:sz w:val="20"/>
          <w:szCs w:val="20"/>
        </w:rPr>
        <w:t>Qualora la proposta progettuale sia presentata congiuntamente da più Beneficiari, questi dovranno identificare un soggetto capofila. Oltre alle proprie attività progettuali</w:t>
      </w:r>
      <w:r>
        <w:rPr>
          <w:rFonts w:ascii="Titillium" w:hAnsi="Titillium" w:cstheme="minorHAnsi"/>
          <w:sz w:val="20"/>
          <w:szCs w:val="20"/>
        </w:rPr>
        <w:t>,</w:t>
      </w:r>
      <w:r w:rsidRPr="00005B3B">
        <w:rPr>
          <w:rFonts w:ascii="Titillium" w:hAnsi="Titillium" w:cstheme="minorHAnsi"/>
          <w:sz w:val="20"/>
          <w:szCs w:val="20"/>
        </w:rPr>
        <w:t xml:space="preserve"> il soggetto capofila svolge anche le attività di gestione e di coordinamento della compagine progettuale. Lo </w:t>
      </w:r>
      <w:proofErr w:type="spellStart"/>
      <w:r w:rsidRPr="00005B3B">
        <w:rPr>
          <w:rFonts w:ascii="Titillium" w:hAnsi="Titillium" w:cstheme="minorHAnsi"/>
          <w:sz w:val="20"/>
          <w:szCs w:val="20"/>
        </w:rPr>
        <w:t>Spoke</w:t>
      </w:r>
      <w:proofErr w:type="spellEnd"/>
      <w:r w:rsidRPr="00005B3B">
        <w:rPr>
          <w:rFonts w:ascii="Titillium" w:hAnsi="Titillium" w:cstheme="minorHAnsi"/>
          <w:sz w:val="20"/>
          <w:szCs w:val="20"/>
        </w:rPr>
        <w:t xml:space="preserve"> </w:t>
      </w:r>
      <w:r w:rsidR="001845CA" w:rsidRPr="001845CA">
        <w:rPr>
          <w:rFonts w:ascii="Titillium" w:hAnsi="Titillium" w:cstheme="minorHAnsi"/>
          <w:sz w:val="20"/>
          <w:szCs w:val="20"/>
        </w:rPr>
        <w:t>riceve</w:t>
      </w:r>
      <w:r>
        <w:rPr>
          <w:rFonts w:ascii="Titillium" w:hAnsi="Titillium" w:cstheme="minorHAnsi"/>
          <w:sz w:val="20"/>
          <w:szCs w:val="20"/>
        </w:rPr>
        <w:t xml:space="preserve"> </w:t>
      </w:r>
      <w:r w:rsidR="001845CA" w:rsidRPr="001845CA">
        <w:rPr>
          <w:rFonts w:ascii="Titillium" w:hAnsi="Titillium" w:cstheme="minorHAnsi"/>
          <w:sz w:val="20"/>
          <w:szCs w:val="20"/>
        </w:rPr>
        <w:t>e distribu</w:t>
      </w:r>
      <w:r>
        <w:rPr>
          <w:rFonts w:ascii="Titillium" w:hAnsi="Titillium" w:cstheme="minorHAnsi"/>
          <w:sz w:val="20"/>
          <w:szCs w:val="20"/>
        </w:rPr>
        <w:t xml:space="preserve">isce </w:t>
      </w:r>
      <w:r w:rsidR="001845CA" w:rsidRPr="001845CA">
        <w:rPr>
          <w:rFonts w:ascii="Titillium" w:hAnsi="Titillium" w:cstheme="minorHAnsi"/>
          <w:sz w:val="20"/>
          <w:szCs w:val="20"/>
        </w:rPr>
        <w:t xml:space="preserve">i finanziamenti concessi. </w:t>
      </w:r>
      <w:r w:rsidR="00B90346">
        <w:rPr>
          <w:rFonts w:ascii="Titillium" w:hAnsi="Titillium" w:cstheme="minorHAnsi"/>
          <w:sz w:val="20"/>
          <w:szCs w:val="20"/>
        </w:rPr>
        <w:t xml:space="preserve">I beneficiari rendicontano allo </w:t>
      </w:r>
      <w:proofErr w:type="spellStart"/>
      <w:r w:rsidR="00B90346">
        <w:rPr>
          <w:rFonts w:ascii="Titillium" w:hAnsi="Titillium" w:cstheme="minorHAnsi"/>
          <w:sz w:val="20"/>
          <w:szCs w:val="20"/>
        </w:rPr>
        <w:t>Spoke</w:t>
      </w:r>
      <w:proofErr w:type="spellEnd"/>
      <w:r w:rsidR="00B90346">
        <w:rPr>
          <w:rFonts w:ascii="Titillium" w:hAnsi="Titillium" w:cstheme="minorHAnsi"/>
          <w:sz w:val="20"/>
          <w:szCs w:val="20"/>
        </w:rPr>
        <w:t xml:space="preserve">. </w:t>
      </w:r>
      <w:r w:rsidR="00C836AD">
        <w:rPr>
          <w:rFonts w:ascii="Titillium" w:hAnsi="Titillium" w:cstheme="minorHAnsi"/>
          <w:sz w:val="20"/>
          <w:szCs w:val="20"/>
        </w:rPr>
        <w:t xml:space="preserve">Lo </w:t>
      </w:r>
      <w:proofErr w:type="spellStart"/>
      <w:r w:rsidR="00C836AD">
        <w:rPr>
          <w:rFonts w:ascii="Titillium" w:hAnsi="Titillium" w:cstheme="minorHAnsi"/>
          <w:sz w:val="20"/>
          <w:szCs w:val="20"/>
        </w:rPr>
        <w:t>Spoke</w:t>
      </w:r>
      <w:proofErr w:type="spellEnd"/>
      <w:r w:rsidR="00C03DE3">
        <w:rPr>
          <w:rFonts w:ascii="Titillium" w:hAnsi="Titillium" w:cstheme="minorHAnsi"/>
          <w:sz w:val="20"/>
          <w:szCs w:val="20"/>
        </w:rPr>
        <w:t xml:space="preserve"> </w:t>
      </w:r>
      <w:r w:rsidR="001845CA" w:rsidRPr="001845CA">
        <w:rPr>
          <w:rFonts w:ascii="Titillium" w:hAnsi="Titillium" w:cstheme="minorHAnsi"/>
          <w:sz w:val="20"/>
          <w:szCs w:val="20"/>
        </w:rPr>
        <w:t>verifica e trasmette al MUR la rendicontazione delle attività svolte da</w:t>
      </w:r>
      <w:r w:rsidR="00C03DE3">
        <w:rPr>
          <w:rFonts w:ascii="Titillium" w:hAnsi="Titillium" w:cstheme="minorHAnsi"/>
          <w:sz w:val="20"/>
          <w:szCs w:val="20"/>
        </w:rPr>
        <w:t>i Beneficiari</w:t>
      </w:r>
      <w:r>
        <w:rPr>
          <w:rFonts w:ascii="Titillium" w:hAnsi="Titillium" w:cstheme="minorHAnsi"/>
          <w:sz w:val="20"/>
          <w:szCs w:val="20"/>
        </w:rPr>
        <w:t>.</w:t>
      </w:r>
    </w:p>
    <w:p w14:paraId="6470555E" w14:textId="2D93BE2D" w:rsidR="001845CA" w:rsidRDefault="00005B3B" w:rsidP="00A77813">
      <w:pPr>
        <w:tabs>
          <w:tab w:val="left" w:pos="0"/>
        </w:tabs>
        <w:spacing w:before="240"/>
        <w:ind w:left="-180"/>
        <w:jc w:val="both"/>
        <w:rPr>
          <w:rFonts w:ascii="Titillium" w:hAnsi="Titillium" w:cstheme="minorHAnsi"/>
          <w:sz w:val="20"/>
          <w:szCs w:val="20"/>
        </w:rPr>
      </w:pPr>
      <w:r>
        <w:rPr>
          <w:rFonts w:ascii="Titillium" w:hAnsi="Titillium" w:cstheme="minorHAnsi"/>
          <w:sz w:val="20"/>
          <w:szCs w:val="20"/>
        </w:rPr>
        <w:t xml:space="preserve">I Beneficiari </w:t>
      </w:r>
      <w:r w:rsidR="001845CA" w:rsidRPr="001845CA">
        <w:rPr>
          <w:rFonts w:ascii="Titillium" w:hAnsi="Titillium" w:cstheme="minorHAnsi"/>
          <w:sz w:val="20"/>
          <w:szCs w:val="20"/>
        </w:rPr>
        <w:t xml:space="preserve">sono i soggetti esecutori del progetto. Essi svolgono direttamente parte delle attività ad essi attribuite dal </w:t>
      </w:r>
      <w:r w:rsidR="00555FCF">
        <w:rPr>
          <w:rFonts w:ascii="Titillium" w:hAnsi="Titillium" w:cstheme="minorHAnsi"/>
          <w:sz w:val="20"/>
          <w:szCs w:val="20"/>
        </w:rPr>
        <w:t>p</w:t>
      </w:r>
      <w:r w:rsidR="001845CA" w:rsidRPr="001845CA">
        <w:rPr>
          <w:rFonts w:ascii="Titillium" w:hAnsi="Titillium" w:cstheme="minorHAnsi"/>
          <w:sz w:val="20"/>
          <w:szCs w:val="20"/>
        </w:rPr>
        <w:t xml:space="preserve">rogetto, meglio indicate nel Programma di Ricerca di cui </w:t>
      </w:r>
      <w:r w:rsidR="001845CA" w:rsidRPr="00F42CF4">
        <w:rPr>
          <w:rFonts w:ascii="Titillium" w:hAnsi="Titillium" w:cstheme="minorHAnsi"/>
          <w:sz w:val="20"/>
          <w:szCs w:val="20"/>
          <w:highlight w:val="green"/>
        </w:rPr>
        <w:t xml:space="preserve">all’Allegato </w:t>
      </w:r>
      <w:r w:rsidR="00C836AD" w:rsidRPr="00F42CF4">
        <w:rPr>
          <w:rFonts w:ascii="Titillium" w:hAnsi="Titillium" w:cstheme="minorHAnsi"/>
          <w:sz w:val="20"/>
          <w:szCs w:val="20"/>
          <w:highlight w:val="green"/>
        </w:rPr>
        <w:t>X</w:t>
      </w:r>
      <w:r>
        <w:rPr>
          <w:rFonts w:ascii="Titillium" w:hAnsi="Titillium" w:cstheme="minorHAnsi"/>
          <w:sz w:val="20"/>
          <w:szCs w:val="20"/>
        </w:rPr>
        <w:t>.</w:t>
      </w:r>
    </w:p>
    <w:p w14:paraId="76A02B55" w14:textId="20D3BCB6"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Ogni </w:t>
      </w:r>
      <w:r w:rsidR="00005B3B">
        <w:rPr>
          <w:rFonts w:ascii="Titillium" w:hAnsi="Titillium" w:cstheme="minorHAnsi"/>
          <w:sz w:val="20"/>
          <w:szCs w:val="20"/>
        </w:rPr>
        <w:t xml:space="preserve">Beneficiario </w:t>
      </w:r>
      <w:r w:rsidRPr="001845CA">
        <w:rPr>
          <w:rFonts w:ascii="Titillium" w:hAnsi="Titillium" w:cstheme="minorHAnsi"/>
          <w:sz w:val="20"/>
          <w:szCs w:val="20"/>
        </w:rPr>
        <w:t>riceve dall</w:t>
      </w:r>
      <w:r w:rsidR="00005B3B">
        <w:rPr>
          <w:rFonts w:ascii="Titillium" w:hAnsi="Titillium" w:cstheme="minorHAnsi"/>
          <w:sz w:val="20"/>
          <w:szCs w:val="20"/>
        </w:rPr>
        <w:t xml:space="preserve">o </w:t>
      </w:r>
      <w:proofErr w:type="spellStart"/>
      <w:r w:rsidR="00005B3B">
        <w:rPr>
          <w:rFonts w:ascii="Titillium" w:hAnsi="Titillium" w:cstheme="minorHAnsi"/>
          <w:sz w:val="20"/>
          <w:szCs w:val="20"/>
        </w:rPr>
        <w:t>Spoke</w:t>
      </w:r>
      <w:proofErr w:type="spellEnd"/>
      <w:r w:rsidR="00005B3B">
        <w:rPr>
          <w:rFonts w:ascii="Titillium" w:hAnsi="Titillium" w:cstheme="minorHAnsi"/>
          <w:sz w:val="20"/>
          <w:szCs w:val="20"/>
        </w:rPr>
        <w:t xml:space="preserve"> </w:t>
      </w:r>
      <w:r w:rsidRPr="001845CA">
        <w:rPr>
          <w:rFonts w:ascii="Titillium" w:hAnsi="Titillium" w:cstheme="minorHAnsi"/>
          <w:sz w:val="20"/>
          <w:szCs w:val="20"/>
        </w:rPr>
        <w:t>i finanziamenti in ragione delle attività svolte o da svolgere e provvede alla rendicontazione delle proprie spese</w:t>
      </w:r>
      <w:r w:rsidR="00C03DE3">
        <w:rPr>
          <w:rFonts w:ascii="Titillium" w:hAnsi="Titillium" w:cstheme="minorHAnsi"/>
          <w:sz w:val="20"/>
          <w:szCs w:val="20"/>
        </w:rPr>
        <w:t xml:space="preserve"> allo </w:t>
      </w:r>
      <w:proofErr w:type="spellStart"/>
      <w:r w:rsidR="00C03DE3">
        <w:rPr>
          <w:rFonts w:ascii="Titillium" w:hAnsi="Titillium" w:cstheme="minorHAnsi"/>
          <w:sz w:val="20"/>
          <w:szCs w:val="20"/>
        </w:rPr>
        <w:t>Spoke</w:t>
      </w:r>
      <w:proofErr w:type="spellEnd"/>
      <w:r w:rsidRPr="001845CA">
        <w:rPr>
          <w:rFonts w:ascii="Titillium" w:hAnsi="Titillium" w:cstheme="minorHAnsi"/>
          <w:sz w:val="20"/>
          <w:szCs w:val="20"/>
        </w:rPr>
        <w:t xml:space="preserve">, </w:t>
      </w:r>
      <w:r w:rsidR="00005B3B">
        <w:rPr>
          <w:rFonts w:ascii="Titillium" w:hAnsi="Titillium" w:cstheme="minorHAnsi"/>
          <w:sz w:val="20"/>
          <w:szCs w:val="20"/>
        </w:rPr>
        <w:t>che</w:t>
      </w:r>
      <w:r w:rsidR="00C03DE3">
        <w:rPr>
          <w:rFonts w:ascii="Titillium" w:hAnsi="Titillium" w:cstheme="minorHAnsi"/>
          <w:sz w:val="20"/>
          <w:szCs w:val="20"/>
        </w:rPr>
        <w:t xml:space="preserve"> le verifica e, in caso di approvazione, le trasmette al MUR</w:t>
      </w:r>
      <w:r w:rsidRPr="001845CA">
        <w:rPr>
          <w:rFonts w:ascii="Titillium" w:hAnsi="Titillium" w:cstheme="minorHAnsi"/>
          <w:sz w:val="20"/>
          <w:szCs w:val="20"/>
        </w:rPr>
        <w:t>.</w:t>
      </w:r>
    </w:p>
    <w:p w14:paraId="3B32633F" w14:textId="2DF39169" w:rsidR="001845CA" w:rsidRPr="001845CA" w:rsidRDefault="001845CA" w:rsidP="00A77813">
      <w:pPr>
        <w:tabs>
          <w:tab w:val="left" w:pos="0"/>
        </w:tabs>
        <w:spacing w:before="240"/>
        <w:ind w:left="-180"/>
        <w:jc w:val="both"/>
        <w:rPr>
          <w:rFonts w:ascii="Titillium" w:hAnsi="Titillium"/>
          <w:sz w:val="20"/>
          <w:szCs w:val="20"/>
        </w:rPr>
      </w:pPr>
      <w:r w:rsidRPr="001845CA">
        <w:rPr>
          <w:rFonts w:ascii="Titillium" w:hAnsi="Titillium"/>
          <w:sz w:val="20"/>
          <w:szCs w:val="20"/>
        </w:rPr>
        <w:t xml:space="preserve">Sono individuati come </w:t>
      </w:r>
      <w:r w:rsidR="00363464">
        <w:rPr>
          <w:rFonts w:ascii="Titillium" w:hAnsi="Titillium"/>
          <w:sz w:val="20"/>
          <w:szCs w:val="20"/>
        </w:rPr>
        <w:t xml:space="preserve">beneficiari </w:t>
      </w:r>
      <w:r w:rsidRPr="001845CA">
        <w:rPr>
          <w:rFonts w:ascii="Titillium" w:hAnsi="Titillium"/>
          <w:sz w:val="20"/>
          <w:szCs w:val="20"/>
        </w:rPr>
        <w:t xml:space="preserve">i seguenti soggetti: </w:t>
      </w:r>
      <w:r w:rsidR="00363464" w:rsidRPr="00F42CF4">
        <w:rPr>
          <w:rFonts w:ascii="Titillium" w:hAnsi="Titillium"/>
          <w:sz w:val="20"/>
          <w:szCs w:val="20"/>
          <w:highlight w:val="green"/>
        </w:rPr>
        <w:t>…</w:t>
      </w:r>
      <w:r w:rsidRPr="00F42CF4">
        <w:rPr>
          <w:rFonts w:ascii="Titillium" w:hAnsi="Titillium"/>
          <w:sz w:val="20"/>
          <w:szCs w:val="20"/>
          <w:highlight w:val="green"/>
        </w:rPr>
        <w:t>.</w:t>
      </w:r>
    </w:p>
    <w:p w14:paraId="17162F72" w14:textId="330DA6D7"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Le Parti prendono atto e convengono che la realizzazione delle attività progettuali da parte de</w:t>
      </w:r>
      <w:r w:rsidR="00363464">
        <w:rPr>
          <w:rFonts w:ascii="Titillium" w:hAnsi="Titillium" w:cstheme="minorHAnsi"/>
          <w:sz w:val="20"/>
          <w:szCs w:val="20"/>
        </w:rPr>
        <w:t xml:space="preserve">i </w:t>
      </w:r>
      <w:r w:rsidR="00A84BDE">
        <w:rPr>
          <w:rFonts w:ascii="Titillium" w:hAnsi="Titillium" w:cstheme="minorHAnsi"/>
          <w:sz w:val="20"/>
          <w:szCs w:val="20"/>
        </w:rPr>
        <w:t>Beneficiari</w:t>
      </w:r>
      <w:r w:rsidR="00363464">
        <w:rPr>
          <w:rFonts w:ascii="Titillium" w:hAnsi="Titillium" w:cstheme="minorHAnsi"/>
          <w:sz w:val="20"/>
          <w:szCs w:val="20"/>
        </w:rPr>
        <w:t xml:space="preserve"> </w:t>
      </w:r>
      <w:r w:rsidRPr="001845CA">
        <w:rPr>
          <w:rFonts w:ascii="Titillium" w:hAnsi="Titillium" w:cstheme="minorHAnsi"/>
          <w:sz w:val="20"/>
          <w:szCs w:val="20"/>
        </w:rPr>
        <w:t>è essenziale per il raggiungimento di milestone e target, intermedi e finali, previste dal Decreto di Concessione del Finanziamento e che eventuali inadempimenti e/o ritardi possono comportare la riduzione o revoca delle risorse destinate alla realizzazione del Programma ammesso a finanziamento.</w:t>
      </w:r>
    </w:p>
    <w:p w14:paraId="4926EDCC" w14:textId="77777777" w:rsidR="001845CA" w:rsidRPr="001845CA" w:rsidRDefault="001845CA" w:rsidP="00A77813">
      <w:pPr>
        <w:pStyle w:val="Titolo1"/>
        <w:spacing w:line="240" w:lineRule="auto"/>
        <w:ind w:left="-180"/>
        <w:rPr>
          <w:rFonts w:ascii="Titillium" w:hAnsi="Titillium"/>
          <w:sz w:val="20"/>
          <w:szCs w:val="20"/>
        </w:rPr>
      </w:pPr>
      <w:bookmarkStart w:id="4" w:name="_Ref112261388"/>
      <w:r w:rsidRPr="001845CA">
        <w:rPr>
          <w:rFonts w:ascii="Titillium" w:hAnsi="Titillium"/>
          <w:sz w:val="20"/>
          <w:szCs w:val="20"/>
        </w:rPr>
        <w:t>Art. 6 - Budget</w:t>
      </w:r>
      <w:bookmarkEnd w:id="4"/>
    </w:p>
    <w:p w14:paraId="757D8C97" w14:textId="22C22122" w:rsidR="001845CA" w:rsidRPr="001845CA" w:rsidRDefault="001845CA" w:rsidP="00A77813">
      <w:pPr>
        <w:pStyle w:val="Titolo1"/>
        <w:spacing w:line="240" w:lineRule="auto"/>
        <w:ind w:left="-180"/>
        <w:jc w:val="both"/>
        <w:rPr>
          <w:rFonts w:ascii="Titillium" w:eastAsiaTheme="minorHAnsi" w:hAnsi="Titillium" w:cstheme="minorHAnsi"/>
          <w:b w:val="0"/>
          <w:sz w:val="20"/>
          <w:szCs w:val="20"/>
        </w:rPr>
      </w:pPr>
      <w:r w:rsidRPr="001845CA">
        <w:rPr>
          <w:rFonts w:ascii="Titillium" w:eastAsiaTheme="minorHAnsi" w:hAnsi="Titillium" w:cstheme="minorHAnsi"/>
          <w:b w:val="0"/>
          <w:sz w:val="20"/>
          <w:szCs w:val="20"/>
        </w:rPr>
        <w:t xml:space="preserve">Per la realizzazione delle attività di cui al precedente art. 4 - Oggetto, </w:t>
      </w:r>
      <w:r w:rsidR="004509BD">
        <w:rPr>
          <w:rFonts w:ascii="Titillium" w:eastAsiaTheme="minorHAnsi" w:hAnsi="Titillium" w:cstheme="minorHAnsi"/>
          <w:b w:val="0"/>
          <w:sz w:val="20"/>
          <w:szCs w:val="20"/>
        </w:rPr>
        <w:t xml:space="preserve">il Beneficiario </w:t>
      </w:r>
      <w:r w:rsidRPr="001845CA">
        <w:rPr>
          <w:rFonts w:ascii="Titillium" w:eastAsiaTheme="minorHAnsi" w:hAnsi="Titillium" w:cstheme="minorHAnsi"/>
          <w:b w:val="0"/>
          <w:sz w:val="20"/>
          <w:szCs w:val="20"/>
        </w:rPr>
        <w:t xml:space="preserve">avrà a disposizione l’importo massimo di finanziamento </w:t>
      </w:r>
      <w:r w:rsidR="00363464">
        <w:rPr>
          <w:rFonts w:ascii="Titillium" w:eastAsiaTheme="minorHAnsi" w:hAnsi="Titillium" w:cstheme="minorHAnsi"/>
          <w:b w:val="0"/>
          <w:sz w:val="20"/>
          <w:szCs w:val="20"/>
        </w:rPr>
        <w:t xml:space="preserve">(agevolazione) </w:t>
      </w:r>
      <w:r w:rsidRPr="001845CA">
        <w:rPr>
          <w:rFonts w:ascii="Titillium" w:eastAsiaTheme="minorHAnsi" w:hAnsi="Titillium" w:cstheme="minorHAnsi"/>
          <w:b w:val="0"/>
          <w:sz w:val="20"/>
          <w:szCs w:val="20"/>
        </w:rPr>
        <w:t xml:space="preserve">indicato </w:t>
      </w:r>
      <w:r w:rsidR="00363464">
        <w:rPr>
          <w:rFonts w:ascii="Titillium" w:eastAsiaTheme="minorHAnsi" w:hAnsi="Titillium" w:cstheme="minorHAnsi"/>
          <w:b w:val="0"/>
          <w:sz w:val="20"/>
          <w:szCs w:val="20"/>
        </w:rPr>
        <w:t xml:space="preserve">nel </w:t>
      </w:r>
      <w:r w:rsidRPr="001845CA">
        <w:rPr>
          <w:rFonts w:ascii="Titillium" w:eastAsiaTheme="minorHAnsi" w:hAnsi="Titillium" w:cstheme="minorHAnsi"/>
          <w:b w:val="0"/>
          <w:sz w:val="20"/>
          <w:szCs w:val="20"/>
        </w:rPr>
        <w:t>Decreto di Concessione</w:t>
      </w:r>
      <w:r w:rsidR="002A467C" w:rsidRPr="001845CA">
        <w:rPr>
          <w:rFonts w:ascii="Titillium" w:eastAsiaTheme="minorHAnsi" w:hAnsi="Titillium" w:cstheme="minorHAnsi"/>
          <w:b w:val="0"/>
          <w:sz w:val="20"/>
          <w:szCs w:val="20"/>
        </w:rPr>
        <w:t xml:space="preserve"> </w:t>
      </w:r>
      <w:r w:rsidR="002A467C" w:rsidRPr="00F42CF4">
        <w:rPr>
          <w:rFonts w:ascii="Titillium" w:eastAsiaTheme="minorHAnsi" w:hAnsi="Titillium" w:cstheme="minorHAnsi"/>
          <w:b w:val="0"/>
          <w:sz w:val="20"/>
          <w:szCs w:val="20"/>
          <w:highlight w:val="green"/>
        </w:rPr>
        <w:t>…</w:t>
      </w:r>
      <w:r w:rsidR="00363464" w:rsidRPr="00F42CF4">
        <w:rPr>
          <w:rFonts w:ascii="Titillium" w:eastAsiaTheme="minorHAnsi" w:hAnsi="Titillium" w:cstheme="minorHAnsi"/>
          <w:b w:val="0"/>
          <w:sz w:val="20"/>
          <w:szCs w:val="20"/>
          <w:highlight w:val="green"/>
        </w:rPr>
        <w:t>.</w:t>
      </w:r>
      <w:r w:rsidR="00363464">
        <w:rPr>
          <w:rFonts w:ascii="Titillium" w:eastAsiaTheme="minorHAnsi" w:hAnsi="Titillium" w:cstheme="minorHAnsi"/>
          <w:b w:val="0"/>
          <w:sz w:val="20"/>
          <w:szCs w:val="20"/>
        </w:rPr>
        <w:t xml:space="preserve"> </w:t>
      </w:r>
      <w:r w:rsidRPr="001845CA">
        <w:rPr>
          <w:rFonts w:ascii="Titillium" w:eastAsiaTheme="minorHAnsi" w:hAnsi="Titillium" w:cstheme="minorHAnsi"/>
          <w:b w:val="0"/>
          <w:sz w:val="20"/>
          <w:szCs w:val="20"/>
        </w:rPr>
        <w:t xml:space="preserve">che costituisce parte integrante del presente accordo. </w:t>
      </w:r>
    </w:p>
    <w:p w14:paraId="6C8762C1" w14:textId="77777777"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7 - Modalità e termini di attuazione delle attività progettuali</w:t>
      </w:r>
    </w:p>
    <w:p w14:paraId="20E48784" w14:textId="224EFC61"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attività progettuali di competenza dei soggetti realizzatori, indicate dettagliatamente </w:t>
      </w:r>
      <w:r w:rsidRPr="00F42CF4">
        <w:rPr>
          <w:rFonts w:ascii="Titillium" w:hAnsi="Titillium" w:cstheme="minorHAnsi"/>
          <w:sz w:val="20"/>
          <w:szCs w:val="20"/>
          <w:highlight w:val="green"/>
        </w:rPr>
        <w:t xml:space="preserve">nell’Allegato </w:t>
      </w:r>
      <w:r w:rsidR="00F42CF4" w:rsidRPr="00F42CF4">
        <w:rPr>
          <w:rFonts w:ascii="Titillium" w:hAnsi="Titillium" w:cstheme="minorHAnsi"/>
          <w:sz w:val="20"/>
          <w:szCs w:val="20"/>
          <w:highlight w:val="green"/>
        </w:rPr>
        <w:t>X</w:t>
      </w:r>
      <w:r w:rsidRPr="001845CA">
        <w:rPr>
          <w:rFonts w:ascii="Titillium" w:hAnsi="Titillium" w:cstheme="minorHAnsi"/>
          <w:sz w:val="20"/>
          <w:szCs w:val="20"/>
        </w:rPr>
        <w:t xml:space="preserve">, dovranno essere svolte nel rispetto del cronoprogramma di cui all’Allegato </w:t>
      </w:r>
      <w:r w:rsidR="00A84BDE" w:rsidRPr="00F42CF4">
        <w:rPr>
          <w:rFonts w:ascii="Titillium" w:hAnsi="Titillium" w:cstheme="minorHAnsi"/>
          <w:sz w:val="20"/>
          <w:szCs w:val="20"/>
          <w:highlight w:val="green"/>
        </w:rPr>
        <w:t>…</w:t>
      </w:r>
      <w:r w:rsidR="00A84BDE">
        <w:rPr>
          <w:rFonts w:ascii="Titillium" w:hAnsi="Titillium" w:cstheme="minorHAnsi"/>
          <w:sz w:val="20"/>
          <w:szCs w:val="20"/>
        </w:rPr>
        <w:t xml:space="preserve"> </w:t>
      </w:r>
      <w:r w:rsidR="00363464">
        <w:rPr>
          <w:rFonts w:ascii="Titillium" w:hAnsi="Titillium" w:cstheme="minorHAnsi"/>
          <w:sz w:val="20"/>
          <w:szCs w:val="20"/>
        </w:rPr>
        <w:t>e d</w:t>
      </w:r>
      <w:r w:rsidRPr="001845CA">
        <w:rPr>
          <w:rFonts w:ascii="Titillium" w:hAnsi="Titillium" w:cstheme="minorHAnsi"/>
          <w:sz w:val="20"/>
          <w:szCs w:val="20"/>
        </w:rPr>
        <w:t xml:space="preserve">i quello finanziario di cui all’Allegato </w:t>
      </w:r>
      <w:r w:rsidR="00A84BDE" w:rsidRPr="00F42CF4">
        <w:rPr>
          <w:rFonts w:ascii="Titillium" w:hAnsi="Titillium" w:cstheme="minorHAnsi"/>
          <w:sz w:val="20"/>
          <w:szCs w:val="20"/>
          <w:highlight w:val="green"/>
        </w:rPr>
        <w:t>…</w:t>
      </w:r>
      <w:r w:rsidRPr="00F42CF4">
        <w:rPr>
          <w:rFonts w:ascii="Titillium" w:hAnsi="Titillium" w:cstheme="minorHAnsi"/>
          <w:sz w:val="20"/>
          <w:szCs w:val="20"/>
          <w:highlight w:val="green"/>
        </w:rPr>
        <w:t>.</w:t>
      </w:r>
    </w:p>
    <w:p w14:paraId="7A2FA11A" w14:textId="359B8218"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Entro la data del </w:t>
      </w:r>
      <w:r w:rsidR="00363464">
        <w:rPr>
          <w:rFonts w:ascii="Titillium" w:hAnsi="Titillium" w:cstheme="minorHAnsi"/>
          <w:sz w:val="20"/>
          <w:szCs w:val="20"/>
        </w:rPr>
        <w:t xml:space="preserve">31 dicembre </w:t>
      </w:r>
      <w:r w:rsidRPr="001845CA">
        <w:rPr>
          <w:rFonts w:ascii="Titillium" w:hAnsi="Titillium" w:cstheme="minorHAnsi"/>
          <w:sz w:val="20"/>
          <w:szCs w:val="20"/>
        </w:rPr>
        <w:t>202</w:t>
      </w:r>
      <w:r w:rsidR="00363464">
        <w:rPr>
          <w:rFonts w:ascii="Titillium" w:hAnsi="Titillium" w:cstheme="minorHAnsi"/>
          <w:sz w:val="20"/>
          <w:szCs w:val="20"/>
        </w:rPr>
        <w:t>5</w:t>
      </w:r>
      <w:r w:rsidRPr="001845CA">
        <w:rPr>
          <w:rFonts w:ascii="Titillium" w:hAnsi="Titillium" w:cstheme="minorHAnsi"/>
          <w:sz w:val="20"/>
          <w:szCs w:val="20"/>
        </w:rPr>
        <w:t>:</w:t>
      </w:r>
    </w:p>
    <w:p w14:paraId="10444D99" w14:textId="74E8B054" w:rsidR="001845CA" w:rsidRPr="001845CA" w:rsidRDefault="001845CA" w:rsidP="00FE6FB9">
      <w:pPr>
        <w:pStyle w:val="Paragrafoelenco"/>
        <w:numPr>
          <w:ilvl w:val="0"/>
          <w:numId w:val="1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le attività connesse al </w:t>
      </w:r>
      <w:r w:rsidR="00555FCF">
        <w:rPr>
          <w:rFonts w:ascii="Titillium" w:hAnsi="Titillium" w:cstheme="minorHAnsi"/>
          <w:sz w:val="20"/>
          <w:szCs w:val="20"/>
        </w:rPr>
        <w:t>programma</w:t>
      </w:r>
      <w:r w:rsidR="00363464">
        <w:rPr>
          <w:rFonts w:ascii="Titillium" w:hAnsi="Titillium" w:cstheme="minorHAnsi"/>
          <w:sz w:val="20"/>
          <w:szCs w:val="20"/>
        </w:rPr>
        <w:t xml:space="preserve"> </w:t>
      </w:r>
      <w:r w:rsidRPr="001845CA">
        <w:rPr>
          <w:rFonts w:ascii="Titillium" w:hAnsi="Titillium" w:cstheme="minorHAnsi"/>
          <w:sz w:val="20"/>
          <w:szCs w:val="20"/>
        </w:rPr>
        <w:t>di ricerca dovranno essere concluse e i relativi target finali conseguiti;</w:t>
      </w:r>
    </w:p>
    <w:p w14:paraId="27619078" w14:textId="4D17A614" w:rsidR="001845CA" w:rsidRPr="001845CA" w:rsidRDefault="001845CA" w:rsidP="00FE6FB9">
      <w:pPr>
        <w:pStyle w:val="Paragrafoelenco"/>
        <w:numPr>
          <w:ilvl w:val="0"/>
          <w:numId w:val="1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le spese dovranno essere sostenute dai </w:t>
      </w:r>
      <w:r w:rsidR="00363464">
        <w:rPr>
          <w:rFonts w:ascii="Titillium" w:hAnsi="Titillium" w:cstheme="minorHAnsi"/>
          <w:sz w:val="20"/>
          <w:szCs w:val="20"/>
        </w:rPr>
        <w:t>Beneficiari;</w:t>
      </w:r>
    </w:p>
    <w:p w14:paraId="64F013AC" w14:textId="3065C952" w:rsidR="001845CA" w:rsidRPr="001845CA" w:rsidRDefault="001845CA" w:rsidP="00FE6FB9">
      <w:pPr>
        <w:pStyle w:val="Paragrafoelenco"/>
        <w:numPr>
          <w:ilvl w:val="0"/>
          <w:numId w:val="1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i trasferimenti di risorse da</w:t>
      </w:r>
      <w:r w:rsidR="00363464">
        <w:rPr>
          <w:rFonts w:ascii="Titillium" w:hAnsi="Titillium" w:cstheme="minorHAnsi"/>
          <w:sz w:val="20"/>
          <w:szCs w:val="20"/>
        </w:rPr>
        <w:t xml:space="preserve">llo </w:t>
      </w:r>
      <w:proofErr w:type="spellStart"/>
      <w:r w:rsidR="00363464">
        <w:rPr>
          <w:rFonts w:ascii="Titillium" w:hAnsi="Titillium" w:cstheme="minorHAnsi"/>
          <w:sz w:val="20"/>
          <w:szCs w:val="20"/>
        </w:rPr>
        <w:t>Spoke</w:t>
      </w:r>
      <w:proofErr w:type="spellEnd"/>
      <w:r w:rsidR="00363464">
        <w:rPr>
          <w:rFonts w:ascii="Titillium" w:hAnsi="Titillium" w:cstheme="minorHAnsi"/>
          <w:sz w:val="20"/>
          <w:szCs w:val="20"/>
        </w:rPr>
        <w:t xml:space="preserve"> ai Beneficiari </w:t>
      </w:r>
      <w:r w:rsidRPr="001845CA">
        <w:rPr>
          <w:rFonts w:ascii="Titillium" w:hAnsi="Titillium" w:cstheme="minorHAnsi"/>
          <w:sz w:val="20"/>
          <w:szCs w:val="20"/>
        </w:rPr>
        <w:t>dovranno essere completati;</w:t>
      </w:r>
    </w:p>
    <w:p w14:paraId="692FA3A5" w14:textId="64FFF187" w:rsidR="001845CA" w:rsidRPr="001845CA" w:rsidRDefault="001845CA" w:rsidP="00FE6FB9">
      <w:pPr>
        <w:pStyle w:val="Paragrafoelenco"/>
        <w:numPr>
          <w:ilvl w:val="0"/>
          <w:numId w:val="11"/>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tutte le attività e le spese effettivamente sostenute per il </w:t>
      </w:r>
      <w:r w:rsidR="00363464">
        <w:rPr>
          <w:rFonts w:ascii="Titillium" w:hAnsi="Titillium" w:cstheme="minorHAnsi"/>
          <w:sz w:val="20"/>
          <w:szCs w:val="20"/>
        </w:rPr>
        <w:t>progetto</w:t>
      </w:r>
      <w:r w:rsidRPr="001845CA">
        <w:rPr>
          <w:rFonts w:ascii="Titillium" w:hAnsi="Titillium" w:cstheme="minorHAnsi"/>
          <w:sz w:val="20"/>
          <w:szCs w:val="20"/>
        </w:rPr>
        <w:t xml:space="preserve"> di ricerca dovranno essere rendicontate da</w:t>
      </w:r>
      <w:r w:rsidR="00363464">
        <w:rPr>
          <w:rFonts w:ascii="Titillium" w:hAnsi="Titillium" w:cstheme="minorHAnsi"/>
          <w:sz w:val="20"/>
          <w:szCs w:val="20"/>
        </w:rPr>
        <w:t xml:space="preserve">i </w:t>
      </w:r>
      <w:r w:rsidR="00A84BDE">
        <w:rPr>
          <w:rFonts w:ascii="Titillium" w:hAnsi="Titillium" w:cstheme="minorHAnsi"/>
          <w:sz w:val="20"/>
          <w:szCs w:val="20"/>
        </w:rPr>
        <w:t>Beneficiari</w:t>
      </w:r>
      <w:r w:rsidR="00363464">
        <w:rPr>
          <w:rFonts w:ascii="Titillium" w:hAnsi="Titillium" w:cstheme="minorHAnsi"/>
          <w:sz w:val="20"/>
          <w:szCs w:val="20"/>
        </w:rPr>
        <w:t xml:space="preserve"> allo </w:t>
      </w:r>
      <w:proofErr w:type="spellStart"/>
      <w:r w:rsidR="00363464">
        <w:rPr>
          <w:rFonts w:ascii="Titillium" w:hAnsi="Titillium" w:cstheme="minorHAnsi"/>
          <w:sz w:val="20"/>
          <w:szCs w:val="20"/>
        </w:rPr>
        <w:t>Spoke</w:t>
      </w:r>
      <w:proofErr w:type="spellEnd"/>
      <w:r w:rsidRPr="001845CA">
        <w:rPr>
          <w:rFonts w:ascii="Titillium" w:hAnsi="Titillium" w:cstheme="minorHAnsi"/>
          <w:sz w:val="20"/>
          <w:szCs w:val="20"/>
        </w:rPr>
        <w:t>, secondo le modalità previste dall’Avviso e dalle Linee Guida del MUR.</w:t>
      </w:r>
    </w:p>
    <w:p w14:paraId="63A5DBF0" w14:textId="60BDFD35"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attività progettuali devono essere realizzate in conformità a quanto </w:t>
      </w:r>
      <w:r w:rsidR="00363464">
        <w:rPr>
          <w:rFonts w:ascii="Titillium" w:hAnsi="Titillium" w:cstheme="minorHAnsi"/>
          <w:sz w:val="20"/>
          <w:szCs w:val="20"/>
        </w:rPr>
        <w:t>previsto dal</w:t>
      </w:r>
      <w:r w:rsidRPr="001845CA">
        <w:rPr>
          <w:rFonts w:ascii="Titillium" w:hAnsi="Titillium" w:cstheme="minorHAnsi"/>
          <w:sz w:val="20"/>
          <w:szCs w:val="20"/>
        </w:rPr>
        <w:t xml:space="preserve"> Decreto di Concessione del Finanziamento.</w:t>
      </w:r>
    </w:p>
    <w:p w14:paraId="6CF36EB6" w14:textId="2CACE37D"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I </w:t>
      </w:r>
      <w:r w:rsidR="00363464">
        <w:rPr>
          <w:rFonts w:ascii="Titillium" w:hAnsi="Titillium" w:cstheme="minorHAnsi"/>
          <w:sz w:val="20"/>
          <w:szCs w:val="20"/>
        </w:rPr>
        <w:t>Beneficiari</w:t>
      </w:r>
      <w:r w:rsidRPr="001845CA">
        <w:rPr>
          <w:rFonts w:ascii="Titillium" w:hAnsi="Titillium" w:cstheme="minorHAnsi"/>
          <w:sz w:val="20"/>
          <w:szCs w:val="20"/>
        </w:rPr>
        <w:t xml:space="preserve"> si impegnano a non apportare</w:t>
      </w:r>
      <w:r w:rsidR="00363464">
        <w:rPr>
          <w:rFonts w:ascii="Titillium" w:hAnsi="Titillium" w:cstheme="minorHAnsi"/>
          <w:sz w:val="20"/>
          <w:szCs w:val="20"/>
        </w:rPr>
        <w:t xml:space="preserve"> </w:t>
      </w:r>
      <w:r w:rsidRPr="001845CA">
        <w:rPr>
          <w:rFonts w:ascii="Titillium" w:hAnsi="Titillium" w:cstheme="minorHAnsi"/>
          <w:sz w:val="20"/>
          <w:szCs w:val="20"/>
        </w:rPr>
        <w:t>variazioni al progetto con riferimento ai seguenti elementi:</w:t>
      </w:r>
    </w:p>
    <w:p w14:paraId="51EB24DE" w14:textId="77777777" w:rsidR="001845CA" w:rsidRPr="001845CA" w:rsidRDefault="001845CA" w:rsidP="00F42CF4">
      <w:pPr>
        <w:pStyle w:val="Paragrafoelenco"/>
        <w:numPr>
          <w:ilvl w:val="0"/>
          <w:numId w:val="3"/>
        </w:numPr>
        <w:tabs>
          <w:tab w:val="left" w:pos="0"/>
        </w:tabs>
        <w:spacing w:before="240" w:after="160"/>
        <w:ind w:left="142"/>
        <w:jc w:val="both"/>
        <w:rPr>
          <w:rFonts w:ascii="Titillium" w:hAnsi="Titillium" w:cstheme="minorHAnsi"/>
          <w:sz w:val="20"/>
          <w:szCs w:val="20"/>
        </w:rPr>
      </w:pPr>
      <w:r w:rsidRPr="001845CA">
        <w:rPr>
          <w:rFonts w:ascii="Titillium" w:hAnsi="Titillium" w:cstheme="minorHAnsi"/>
          <w:sz w:val="20"/>
          <w:szCs w:val="20"/>
        </w:rPr>
        <w:t>finalità dell’intervento;</w:t>
      </w:r>
    </w:p>
    <w:p w14:paraId="44F23017" w14:textId="77777777" w:rsidR="001845CA" w:rsidRPr="001845CA" w:rsidRDefault="001845CA" w:rsidP="00F42CF4">
      <w:pPr>
        <w:pStyle w:val="Paragrafoelenco"/>
        <w:numPr>
          <w:ilvl w:val="0"/>
          <w:numId w:val="3"/>
        </w:numPr>
        <w:tabs>
          <w:tab w:val="left" w:pos="0"/>
        </w:tabs>
        <w:spacing w:before="240" w:after="160"/>
        <w:ind w:left="142"/>
        <w:jc w:val="both"/>
        <w:rPr>
          <w:rFonts w:ascii="Titillium" w:hAnsi="Titillium" w:cstheme="minorHAnsi"/>
          <w:sz w:val="20"/>
          <w:szCs w:val="20"/>
        </w:rPr>
      </w:pPr>
      <w:r w:rsidRPr="001845CA">
        <w:rPr>
          <w:rFonts w:ascii="Titillium" w:hAnsi="Titillium" w:cstheme="minorHAnsi"/>
          <w:sz w:val="20"/>
          <w:szCs w:val="20"/>
        </w:rPr>
        <w:t>milestone e target di livello europeo e nazionale, intermedi e finali;</w:t>
      </w:r>
    </w:p>
    <w:p w14:paraId="1A2BBB39" w14:textId="77777777" w:rsidR="001845CA" w:rsidRPr="001845CA" w:rsidRDefault="001845CA" w:rsidP="00F42CF4">
      <w:pPr>
        <w:pStyle w:val="Paragrafoelenco"/>
        <w:numPr>
          <w:ilvl w:val="0"/>
          <w:numId w:val="3"/>
        </w:numPr>
        <w:tabs>
          <w:tab w:val="left" w:pos="0"/>
        </w:tabs>
        <w:spacing w:before="240" w:after="160"/>
        <w:ind w:left="142"/>
        <w:jc w:val="both"/>
        <w:rPr>
          <w:rFonts w:ascii="Titillium" w:hAnsi="Titillium" w:cstheme="minorHAnsi"/>
          <w:sz w:val="20"/>
          <w:szCs w:val="20"/>
        </w:rPr>
      </w:pPr>
      <w:r w:rsidRPr="001845CA">
        <w:rPr>
          <w:rFonts w:ascii="Titillium" w:hAnsi="Titillium" w:cstheme="minorHAnsi"/>
          <w:sz w:val="20"/>
          <w:szCs w:val="20"/>
        </w:rPr>
        <w:lastRenderedPageBreak/>
        <w:t>cronoprogramma di attuazione;</w:t>
      </w:r>
    </w:p>
    <w:p w14:paraId="1ABA3D85" w14:textId="77777777" w:rsidR="001845CA" w:rsidRPr="001845CA" w:rsidRDefault="001845CA" w:rsidP="00F42CF4">
      <w:pPr>
        <w:pStyle w:val="Paragrafoelenco"/>
        <w:numPr>
          <w:ilvl w:val="0"/>
          <w:numId w:val="3"/>
        </w:numPr>
        <w:tabs>
          <w:tab w:val="left" w:pos="0"/>
        </w:tabs>
        <w:spacing w:before="240" w:after="160"/>
        <w:ind w:left="142"/>
        <w:jc w:val="both"/>
        <w:rPr>
          <w:rFonts w:ascii="Titillium" w:hAnsi="Titillium" w:cstheme="minorHAnsi"/>
          <w:sz w:val="20"/>
          <w:szCs w:val="20"/>
        </w:rPr>
      </w:pPr>
      <w:r w:rsidRPr="001845CA">
        <w:rPr>
          <w:rFonts w:ascii="Titillium" w:hAnsi="Titillium" w:cstheme="minorHAnsi"/>
          <w:sz w:val="20"/>
          <w:szCs w:val="20"/>
        </w:rPr>
        <w:t>volume di spesa.</w:t>
      </w:r>
    </w:p>
    <w:p w14:paraId="75D6D98D" w14:textId="46933F2A"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w:t>
      </w:r>
      <w:r w:rsidR="00363464">
        <w:rPr>
          <w:rFonts w:ascii="Titillium" w:hAnsi="Titillium" w:cstheme="minorHAnsi"/>
          <w:sz w:val="20"/>
          <w:szCs w:val="20"/>
        </w:rPr>
        <w:t>P</w:t>
      </w:r>
      <w:r w:rsidRPr="001845CA">
        <w:rPr>
          <w:rFonts w:ascii="Titillium" w:hAnsi="Titillium" w:cstheme="minorHAnsi"/>
          <w:sz w:val="20"/>
          <w:szCs w:val="20"/>
        </w:rPr>
        <w:t xml:space="preserve">arti prendono atto che eventuali variazioni agli elementi sopra indicati comporteranno l’adozione, da parte del MUR, di misure correttive e revisioni complessive di progetto, anche in termini di rideterminazione dei costi complessivi dell’intervento e che, qualora tali revisioni non consentissero, comunque, il corretto e completo svolgimento del progetto finanziato, il MUR procederà alla revoca del finanziamento, ai sensi dell’art. 17 del Decreto Ministeriale n. 1314 del 14 dicembre 2021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w:t>
      </w:r>
    </w:p>
    <w:p w14:paraId="4E64E5F1" w14:textId="77777777" w:rsidR="001845CA" w:rsidRPr="001845CA" w:rsidRDefault="001845CA" w:rsidP="00A77813">
      <w:pPr>
        <w:tabs>
          <w:tab w:val="left" w:pos="0"/>
        </w:tabs>
        <w:spacing w:before="240"/>
        <w:ind w:left="-180"/>
        <w:jc w:val="center"/>
        <w:rPr>
          <w:rFonts w:ascii="Titillium" w:hAnsi="Titillium" w:cstheme="minorHAnsi"/>
          <w:b/>
          <w:bCs/>
          <w:sz w:val="20"/>
          <w:szCs w:val="20"/>
        </w:rPr>
      </w:pPr>
      <w:r w:rsidRPr="001845CA">
        <w:rPr>
          <w:rFonts w:ascii="Titillium" w:hAnsi="Titillium" w:cstheme="minorHAnsi"/>
          <w:b/>
          <w:bCs/>
          <w:sz w:val="20"/>
          <w:szCs w:val="20"/>
        </w:rPr>
        <w:t>Art. 8 - Impegni delle Parti</w:t>
      </w:r>
    </w:p>
    <w:p w14:paraId="0FD621CD" w14:textId="207A5F49"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Parti si impegnano a rispettare tutti gli obblighi previsti nel presente </w:t>
      </w:r>
      <w:r w:rsidR="00B61836">
        <w:rPr>
          <w:rFonts w:ascii="Titillium" w:hAnsi="Titillium" w:cstheme="minorHAnsi"/>
          <w:sz w:val="20"/>
          <w:szCs w:val="20"/>
        </w:rPr>
        <w:t>accordo</w:t>
      </w:r>
      <w:r w:rsidRPr="001845CA">
        <w:rPr>
          <w:rFonts w:ascii="Titillium" w:hAnsi="Titillium" w:cstheme="minorHAnsi"/>
          <w:sz w:val="20"/>
          <w:szCs w:val="20"/>
        </w:rPr>
        <w:t xml:space="preserve"> per i ruoli che ricoprono, indicati nel</w:t>
      </w:r>
      <w:r w:rsidR="00363464">
        <w:rPr>
          <w:rFonts w:ascii="Titillium" w:hAnsi="Titillium" w:cstheme="minorHAnsi"/>
          <w:sz w:val="20"/>
          <w:szCs w:val="20"/>
        </w:rPr>
        <w:t xml:space="preserve"> progetto</w:t>
      </w:r>
      <w:r w:rsidRPr="001845CA">
        <w:rPr>
          <w:rFonts w:ascii="Titillium" w:hAnsi="Titillium" w:cstheme="minorHAnsi"/>
          <w:sz w:val="20"/>
          <w:szCs w:val="20"/>
        </w:rPr>
        <w:t xml:space="preserve">, e a svolgere le attività singolarmente o congiuntamente a loro attribuite nel </w:t>
      </w:r>
      <w:r w:rsidR="00555FCF">
        <w:rPr>
          <w:rFonts w:ascii="Titillium" w:hAnsi="Titillium" w:cstheme="minorHAnsi"/>
          <w:sz w:val="20"/>
          <w:szCs w:val="20"/>
        </w:rPr>
        <w:t>p</w:t>
      </w:r>
      <w:r w:rsidRPr="001845CA">
        <w:rPr>
          <w:rFonts w:ascii="Titillium" w:hAnsi="Titillium" w:cstheme="minorHAnsi"/>
          <w:sz w:val="20"/>
          <w:szCs w:val="20"/>
        </w:rPr>
        <w:t xml:space="preserve">rogetto e nelle eventuali rimodulazioni approvate dal MUR. </w:t>
      </w:r>
    </w:p>
    <w:p w14:paraId="24DB6162" w14:textId="77777777"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Ciascuna Parte è responsabile dell’attuazione delle azioni ad essa attribuite nelle milestone a cui partecipa, del conseguimento dei target e della produzione dei giustificativi relativi ai costi sostenuti nel rispetto delle regole di rendicontazione previste, al fine di consentire alla Fondazione di effettuare la rendicontazione delle spese.</w:t>
      </w:r>
    </w:p>
    <w:p w14:paraId="0F33B104" w14:textId="30915B06"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Parti si impegnano, inoltre, a notificare tempestivamente qualsiasi informazione significativa, fatto, problema o ritardo che possa influire sul </w:t>
      </w:r>
      <w:r w:rsidR="00555FCF">
        <w:rPr>
          <w:rFonts w:ascii="Titillium" w:hAnsi="Titillium" w:cstheme="minorHAnsi"/>
          <w:sz w:val="20"/>
          <w:szCs w:val="20"/>
        </w:rPr>
        <w:t>p</w:t>
      </w:r>
      <w:r w:rsidRPr="001845CA">
        <w:rPr>
          <w:rFonts w:ascii="Titillium" w:hAnsi="Titillium" w:cstheme="minorHAnsi"/>
          <w:sz w:val="20"/>
          <w:szCs w:val="20"/>
        </w:rPr>
        <w:t>rogetto.</w:t>
      </w:r>
    </w:p>
    <w:p w14:paraId="4D1A93B6" w14:textId="546C9BC3"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Parti si impegnano a disciplinare in un apposito </w:t>
      </w:r>
      <w:r w:rsidR="00B61836">
        <w:rPr>
          <w:rFonts w:ascii="Titillium" w:hAnsi="Titillium" w:cstheme="minorHAnsi"/>
          <w:sz w:val="20"/>
          <w:szCs w:val="20"/>
        </w:rPr>
        <w:t>accordo</w:t>
      </w:r>
      <w:r w:rsidRPr="001845CA">
        <w:rPr>
          <w:rFonts w:ascii="Titillium" w:hAnsi="Titillium" w:cstheme="minorHAnsi"/>
          <w:sz w:val="20"/>
          <w:szCs w:val="20"/>
        </w:rPr>
        <w:t xml:space="preserve">, che sarà da esse sottoscritto successivamente alla stipula del presente </w:t>
      </w:r>
      <w:r w:rsidR="00B61836">
        <w:rPr>
          <w:rFonts w:ascii="Titillium" w:hAnsi="Titillium" w:cstheme="minorHAnsi"/>
          <w:sz w:val="20"/>
          <w:szCs w:val="20"/>
        </w:rPr>
        <w:t>accordo</w:t>
      </w:r>
      <w:r w:rsidRPr="001845CA">
        <w:rPr>
          <w:rFonts w:ascii="Titillium" w:hAnsi="Titillium" w:cstheme="minorHAnsi"/>
          <w:sz w:val="20"/>
          <w:szCs w:val="20"/>
        </w:rPr>
        <w:t>, tutti gli aspetti relativi alla proprietà</w:t>
      </w:r>
      <w:r w:rsidRPr="001845CA">
        <w:rPr>
          <w:rFonts w:ascii="Titillium" w:hAnsi="Titillium"/>
          <w:sz w:val="20"/>
          <w:szCs w:val="20"/>
        </w:rPr>
        <w:t xml:space="preserve"> </w:t>
      </w:r>
      <w:r w:rsidRPr="001845CA">
        <w:rPr>
          <w:rFonts w:ascii="Titillium" w:hAnsi="Titillium" w:cstheme="minorHAnsi"/>
          <w:sz w:val="20"/>
          <w:szCs w:val="20"/>
        </w:rPr>
        <w:t>intellettuale dei risultati e loro sfruttamento.</w:t>
      </w:r>
    </w:p>
    <w:p w14:paraId="0FA17BDF" w14:textId="051F627C"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9 - Obblighi dell</w:t>
      </w:r>
      <w:r w:rsidR="00E5492A">
        <w:rPr>
          <w:rFonts w:ascii="Titillium" w:hAnsi="Titillium"/>
          <w:sz w:val="20"/>
          <w:szCs w:val="20"/>
        </w:rPr>
        <w:t xml:space="preserve">o </w:t>
      </w:r>
      <w:proofErr w:type="spellStart"/>
      <w:r w:rsidR="00E5492A">
        <w:rPr>
          <w:rFonts w:ascii="Titillium" w:hAnsi="Titillium"/>
          <w:sz w:val="20"/>
          <w:szCs w:val="20"/>
        </w:rPr>
        <w:t>Spoke</w:t>
      </w:r>
      <w:proofErr w:type="spellEnd"/>
    </w:p>
    <w:p w14:paraId="4119C9D1" w14:textId="500B9E00"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L</w:t>
      </w:r>
      <w:r w:rsidR="00E5492A">
        <w:rPr>
          <w:rFonts w:ascii="Titillium" w:hAnsi="Titillium" w:cstheme="minorHAnsi"/>
          <w:sz w:val="20"/>
          <w:szCs w:val="20"/>
        </w:rPr>
        <w:t xml:space="preserve">o </w:t>
      </w:r>
      <w:proofErr w:type="spellStart"/>
      <w:r w:rsidR="00E5492A">
        <w:rPr>
          <w:rFonts w:ascii="Titillium" w:hAnsi="Titillium" w:cstheme="minorHAnsi"/>
          <w:sz w:val="20"/>
          <w:szCs w:val="20"/>
        </w:rPr>
        <w:t>Spoke</w:t>
      </w:r>
      <w:proofErr w:type="spellEnd"/>
      <w:r w:rsidR="00E5492A">
        <w:rPr>
          <w:rFonts w:ascii="Titillium" w:hAnsi="Titillium" w:cstheme="minorHAnsi"/>
          <w:sz w:val="20"/>
          <w:szCs w:val="20"/>
        </w:rPr>
        <w:t xml:space="preserve"> </w:t>
      </w:r>
      <w:r w:rsidRPr="001845CA">
        <w:rPr>
          <w:rFonts w:ascii="Titillium" w:hAnsi="Titillium" w:cstheme="minorHAnsi"/>
          <w:sz w:val="20"/>
          <w:szCs w:val="20"/>
        </w:rPr>
        <w:t>si obbliga a:</w:t>
      </w:r>
    </w:p>
    <w:p w14:paraId="15602C6C" w14:textId="73433E50" w:rsidR="001845CA" w:rsidRPr="001845CA" w:rsidRDefault="001845CA" w:rsidP="00F42CF4">
      <w:pPr>
        <w:pStyle w:val="Paragrafoelenco"/>
        <w:numPr>
          <w:ilvl w:val="0"/>
          <w:numId w:val="5"/>
        </w:numPr>
        <w:tabs>
          <w:tab w:val="left" w:pos="0"/>
        </w:tabs>
        <w:spacing w:before="240" w:after="160"/>
        <w:ind w:left="284"/>
        <w:jc w:val="both"/>
        <w:rPr>
          <w:rFonts w:ascii="Titillium" w:hAnsi="Titillium" w:cstheme="minorHAnsi"/>
          <w:sz w:val="20"/>
          <w:szCs w:val="20"/>
        </w:rPr>
      </w:pPr>
      <w:r w:rsidRPr="001845CA">
        <w:rPr>
          <w:rFonts w:ascii="Titillium" w:hAnsi="Titillium" w:cstheme="minorHAnsi"/>
          <w:sz w:val="20"/>
          <w:szCs w:val="20"/>
        </w:rPr>
        <w:t xml:space="preserve">garantire che </w:t>
      </w:r>
      <w:r w:rsidR="00E5492A">
        <w:rPr>
          <w:rFonts w:ascii="Titillium" w:hAnsi="Titillium" w:cstheme="minorHAnsi"/>
          <w:sz w:val="20"/>
          <w:szCs w:val="20"/>
        </w:rPr>
        <w:t xml:space="preserve">i Beneficiari </w:t>
      </w:r>
      <w:r w:rsidRPr="001845CA">
        <w:rPr>
          <w:rFonts w:ascii="Titillium" w:hAnsi="Titillium" w:cstheme="minorHAnsi"/>
          <w:sz w:val="20"/>
          <w:szCs w:val="20"/>
        </w:rPr>
        <w:t>riceva</w:t>
      </w:r>
      <w:r w:rsidR="00E5492A">
        <w:rPr>
          <w:rFonts w:ascii="Titillium" w:hAnsi="Titillium" w:cstheme="minorHAnsi"/>
          <w:sz w:val="20"/>
          <w:szCs w:val="20"/>
        </w:rPr>
        <w:t>no</w:t>
      </w:r>
      <w:r w:rsidRPr="001845CA">
        <w:rPr>
          <w:rFonts w:ascii="Titillium" w:hAnsi="Titillium" w:cstheme="minorHAnsi"/>
          <w:sz w:val="20"/>
          <w:szCs w:val="20"/>
        </w:rPr>
        <w:t xml:space="preserve"> tutte le informazioni pertinenti per l’esecuzione delle attività progettuali di </w:t>
      </w:r>
      <w:r w:rsidR="00E5492A">
        <w:rPr>
          <w:rFonts w:ascii="Titillium" w:hAnsi="Titillium" w:cstheme="minorHAnsi"/>
          <w:sz w:val="20"/>
          <w:szCs w:val="20"/>
        </w:rPr>
        <w:t>loro</w:t>
      </w:r>
      <w:r w:rsidRPr="001845CA">
        <w:rPr>
          <w:rFonts w:ascii="Titillium" w:hAnsi="Titillium" w:cstheme="minorHAnsi"/>
          <w:sz w:val="20"/>
          <w:szCs w:val="20"/>
        </w:rPr>
        <w:t xml:space="preserve"> competenza e, in particolare, le istruzioni necessarie relative alle modalità per la corretta gestione, verifica e rendicontazione delle spese;</w:t>
      </w:r>
    </w:p>
    <w:p w14:paraId="2594E861" w14:textId="77777777" w:rsidR="001845CA" w:rsidRPr="001845CA" w:rsidRDefault="001845CA" w:rsidP="00F42CF4">
      <w:pPr>
        <w:pStyle w:val="Paragrafoelenco"/>
        <w:numPr>
          <w:ilvl w:val="0"/>
          <w:numId w:val="5"/>
        </w:numPr>
        <w:spacing w:after="160"/>
        <w:ind w:left="284"/>
        <w:jc w:val="both"/>
        <w:rPr>
          <w:rFonts w:ascii="Titillium" w:hAnsi="Titillium" w:cstheme="minorHAnsi"/>
          <w:sz w:val="20"/>
          <w:szCs w:val="20"/>
        </w:rPr>
      </w:pPr>
      <w:r w:rsidRPr="001845CA">
        <w:rPr>
          <w:rFonts w:ascii="Titillium" w:hAnsi="Titillium" w:cstheme="minorHAnsi"/>
          <w:sz w:val="20"/>
          <w:szCs w:val="20"/>
        </w:rPr>
        <w:t>assicurare l’utilizzo del sistema informativo adottato dal MUR (Piattaforma “</w:t>
      </w:r>
      <w:proofErr w:type="spellStart"/>
      <w:r w:rsidRPr="001845CA">
        <w:rPr>
          <w:rFonts w:ascii="Titillium" w:hAnsi="Titillium" w:cstheme="minorHAnsi"/>
          <w:sz w:val="20"/>
          <w:szCs w:val="20"/>
        </w:rPr>
        <w:t>AtWork</w:t>
      </w:r>
      <w:proofErr w:type="spellEnd"/>
      <w:r w:rsidRPr="001845CA">
        <w:rPr>
          <w:rFonts w:ascii="Titillium" w:hAnsi="Titillium" w:cstheme="minorHAnsi"/>
          <w:sz w:val="20"/>
          <w:szCs w:val="20"/>
        </w:rPr>
        <w:t>) e a supportare gli adempimenti di rendicontazione e controllo previsti dalla normativa vigente, verificandone la corretta implementazione; assicurare l’utilizzo del sistema informativo PNRR (</w:t>
      </w:r>
      <w:proofErr w:type="spellStart"/>
      <w:r w:rsidRPr="001845CA">
        <w:rPr>
          <w:rFonts w:ascii="Titillium" w:hAnsi="Titillium" w:cstheme="minorHAnsi"/>
          <w:sz w:val="20"/>
          <w:szCs w:val="20"/>
        </w:rPr>
        <w:t>ReGiS</w:t>
      </w:r>
      <w:proofErr w:type="spellEnd"/>
      <w:r w:rsidRPr="001845CA">
        <w:rPr>
          <w:rFonts w:ascii="Titillium" w:hAnsi="Titillium" w:cstheme="minorHAnsi"/>
          <w:sz w:val="20"/>
          <w:szCs w:val="20"/>
        </w:rPr>
        <w:t>) sistema di registrazione e conservazione informatizzata dei dati, sviluppato dalla Ragioneria Generale dello Stato, finalizzato alla rilevazione e diffusione dei dati di monitoraggio del PNRR, e a supportare gli adempimenti di rendicontazione e controllo previsti dalla normativa vigente, verificandone la corretta implementazione;</w:t>
      </w:r>
    </w:p>
    <w:p w14:paraId="5CA38D1B" w14:textId="6CA41E40" w:rsidR="001845CA" w:rsidRPr="001845CA" w:rsidRDefault="001845CA" w:rsidP="00F42CF4">
      <w:pPr>
        <w:pStyle w:val="Paragrafoelenco"/>
        <w:numPr>
          <w:ilvl w:val="0"/>
          <w:numId w:val="5"/>
        </w:numPr>
        <w:tabs>
          <w:tab w:val="left" w:pos="0"/>
        </w:tabs>
        <w:spacing w:before="240" w:after="160"/>
        <w:ind w:left="284"/>
        <w:jc w:val="both"/>
        <w:rPr>
          <w:rFonts w:ascii="Titillium" w:hAnsi="Titillium" w:cstheme="minorHAnsi"/>
          <w:sz w:val="20"/>
          <w:szCs w:val="20"/>
        </w:rPr>
      </w:pPr>
      <w:r w:rsidRPr="001845CA">
        <w:rPr>
          <w:rFonts w:ascii="Titillium" w:hAnsi="Titillium" w:cstheme="minorHAnsi"/>
          <w:sz w:val="20"/>
          <w:szCs w:val="20"/>
        </w:rPr>
        <w:t>fornire le informazioni riguardanti previsioni normative, orientamenti o istruzioni tecniche che potranno essere emanate dal</w:t>
      </w:r>
      <w:r w:rsidR="009819BA">
        <w:rPr>
          <w:rFonts w:ascii="Titillium" w:hAnsi="Titillium" w:cstheme="minorHAnsi"/>
          <w:sz w:val="20"/>
          <w:szCs w:val="20"/>
        </w:rPr>
        <w:t xml:space="preserve">l’Hub e dal </w:t>
      </w:r>
      <w:r w:rsidRPr="001845CA">
        <w:rPr>
          <w:rFonts w:ascii="Titillium" w:hAnsi="Titillium" w:cstheme="minorHAnsi"/>
          <w:sz w:val="20"/>
          <w:szCs w:val="20"/>
        </w:rPr>
        <w:t xml:space="preserve">MUR, dal Ministero dell’Economia e delle Finanze, dalla Commissione Europea ovvero da altri soggetti coinvolti nell’attuazione del PNRR, mettendo a disposizione dello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procedure e manuali operativi;</w:t>
      </w:r>
    </w:p>
    <w:p w14:paraId="096923AC" w14:textId="39C66E48" w:rsidR="001845CA" w:rsidRPr="001845CA" w:rsidRDefault="001845CA" w:rsidP="00F42CF4">
      <w:pPr>
        <w:pStyle w:val="Paragrafoelenco"/>
        <w:numPr>
          <w:ilvl w:val="0"/>
          <w:numId w:val="5"/>
        </w:numPr>
        <w:tabs>
          <w:tab w:val="left" w:pos="0"/>
        </w:tabs>
        <w:spacing w:before="240" w:after="160"/>
        <w:ind w:left="284"/>
        <w:jc w:val="both"/>
        <w:rPr>
          <w:rFonts w:ascii="Titillium" w:hAnsi="Titillium" w:cstheme="minorHAnsi"/>
          <w:sz w:val="20"/>
          <w:szCs w:val="20"/>
        </w:rPr>
      </w:pPr>
      <w:r w:rsidRPr="001845CA">
        <w:rPr>
          <w:rFonts w:ascii="Titillium" w:hAnsi="Titillium" w:cstheme="minorHAnsi"/>
          <w:sz w:val="20"/>
          <w:szCs w:val="20"/>
        </w:rPr>
        <w:t xml:space="preserve">informare </w:t>
      </w:r>
      <w:r w:rsidR="00E5492A">
        <w:rPr>
          <w:rFonts w:ascii="Titillium" w:hAnsi="Titillium" w:cstheme="minorHAnsi"/>
          <w:sz w:val="20"/>
          <w:szCs w:val="20"/>
        </w:rPr>
        <w:t xml:space="preserve">i Beneficiari </w:t>
      </w:r>
      <w:r w:rsidRPr="001845CA">
        <w:rPr>
          <w:rFonts w:ascii="Titillium" w:hAnsi="Titillium" w:cstheme="minorHAnsi"/>
          <w:sz w:val="20"/>
          <w:szCs w:val="20"/>
        </w:rPr>
        <w:t>in merito ad eventuali incongruenze e possibili irregolarità riscontrate nel corso dell’attuazione delle attività progettuali di sua competenza che possano avere ripercussioni sugli interventi gestiti dallo stesso.</w:t>
      </w:r>
    </w:p>
    <w:p w14:paraId="218A2F50" w14:textId="3CD143EF"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Art.10 - Obblighi de</w:t>
      </w:r>
      <w:r w:rsidR="00E5492A">
        <w:rPr>
          <w:rFonts w:ascii="Titillium" w:hAnsi="Titillium"/>
          <w:sz w:val="20"/>
          <w:szCs w:val="20"/>
        </w:rPr>
        <w:t>i Beneficiari</w:t>
      </w:r>
    </w:p>
    <w:p w14:paraId="4D45E1E2" w14:textId="69DE9E64" w:rsidR="001845CA" w:rsidRPr="001845CA" w:rsidRDefault="00E5492A" w:rsidP="00A77813">
      <w:pPr>
        <w:tabs>
          <w:tab w:val="left" w:pos="0"/>
        </w:tabs>
        <w:spacing w:before="240"/>
        <w:ind w:left="-180"/>
        <w:jc w:val="both"/>
        <w:rPr>
          <w:rFonts w:ascii="Titillium" w:hAnsi="Titillium" w:cstheme="minorHAnsi"/>
          <w:sz w:val="20"/>
          <w:szCs w:val="20"/>
        </w:rPr>
      </w:pPr>
      <w:r>
        <w:rPr>
          <w:rFonts w:ascii="Titillium" w:hAnsi="Titillium" w:cstheme="minorHAnsi"/>
          <w:sz w:val="20"/>
          <w:szCs w:val="20"/>
        </w:rPr>
        <w:t xml:space="preserve">I Beneficiari </w:t>
      </w:r>
      <w:r w:rsidR="001845CA" w:rsidRPr="001845CA">
        <w:rPr>
          <w:rFonts w:ascii="Titillium" w:hAnsi="Titillium" w:cstheme="minorHAnsi"/>
          <w:sz w:val="20"/>
          <w:szCs w:val="20"/>
        </w:rPr>
        <w:t>prend</w:t>
      </w:r>
      <w:r>
        <w:rPr>
          <w:rFonts w:ascii="Titillium" w:hAnsi="Titillium" w:cstheme="minorHAnsi"/>
          <w:sz w:val="20"/>
          <w:szCs w:val="20"/>
        </w:rPr>
        <w:t xml:space="preserve">ono </w:t>
      </w:r>
      <w:r w:rsidR="001845CA" w:rsidRPr="001845CA">
        <w:rPr>
          <w:rFonts w:ascii="Titillium" w:hAnsi="Titillium" w:cstheme="minorHAnsi"/>
          <w:sz w:val="20"/>
          <w:szCs w:val="20"/>
        </w:rPr>
        <w:t>atto degli impegni assunti dall</w:t>
      </w:r>
      <w:r>
        <w:rPr>
          <w:rFonts w:ascii="Titillium" w:hAnsi="Titillium" w:cstheme="minorHAnsi"/>
          <w:sz w:val="20"/>
          <w:szCs w:val="20"/>
        </w:rPr>
        <w:t xml:space="preserve">o </w:t>
      </w:r>
      <w:proofErr w:type="spellStart"/>
      <w:r>
        <w:rPr>
          <w:rFonts w:ascii="Titillium" w:hAnsi="Titillium" w:cstheme="minorHAnsi"/>
          <w:sz w:val="20"/>
          <w:szCs w:val="20"/>
        </w:rPr>
        <w:t>Spoke</w:t>
      </w:r>
      <w:proofErr w:type="spellEnd"/>
      <w:r>
        <w:rPr>
          <w:rFonts w:ascii="Titillium" w:hAnsi="Titillium" w:cstheme="minorHAnsi"/>
          <w:sz w:val="20"/>
          <w:szCs w:val="20"/>
        </w:rPr>
        <w:t xml:space="preserve"> </w:t>
      </w:r>
      <w:r w:rsidR="001845CA" w:rsidRPr="001845CA">
        <w:rPr>
          <w:rFonts w:ascii="Titillium" w:hAnsi="Titillium" w:cstheme="minorHAnsi"/>
          <w:sz w:val="20"/>
          <w:szCs w:val="20"/>
        </w:rPr>
        <w:t xml:space="preserve">nei confronti del </w:t>
      </w:r>
      <w:r w:rsidR="003D0407">
        <w:rPr>
          <w:rFonts w:ascii="Titillium" w:hAnsi="Titillium" w:cstheme="minorHAnsi"/>
          <w:sz w:val="20"/>
          <w:szCs w:val="20"/>
        </w:rPr>
        <w:t>Ministero dell’Università e Ricerca</w:t>
      </w:r>
      <w:r w:rsidR="001845CA" w:rsidRPr="001845CA">
        <w:rPr>
          <w:rFonts w:ascii="Titillium" w:hAnsi="Titillium" w:cstheme="minorHAnsi"/>
          <w:sz w:val="20"/>
          <w:szCs w:val="20"/>
        </w:rPr>
        <w:t xml:space="preserve"> </w:t>
      </w:r>
      <w:r w:rsidR="003D0407">
        <w:rPr>
          <w:rFonts w:ascii="Titillium" w:hAnsi="Titillium" w:cstheme="minorHAnsi"/>
          <w:sz w:val="20"/>
          <w:szCs w:val="20"/>
        </w:rPr>
        <w:t xml:space="preserve">e della Fondazione RESTART </w:t>
      </w:r>
      <w:r w:rsidR="001845CA" w:rsidRPr="001845CA">
        <w:rPr>
          <w:rFonts w:ascii="Titillium" w:hAnsi="Titillium" w:cstheme="minorHAnsi"/>
          <w:sz w:val="20"/>
          <w:szCs w:val="20"/>
        </w:rPr>
        <w:t xml:space="preserve">con la sottoscrizione </w:t>
      </w:r>
      <w:r w:rsidR="001845CA" w:rsidRPr="003D0407">
        <w:rPr>
          <w:rFonts w:ascii="Titillium" w:hAnsi="Titillium" w:cstheme="minorHAnsi"/>
          <w:sz w:val="20"/>
          <w:szCs w:val="20"/>
        </w:rPr>
        <w:t>dell’</w:t>
      </w:r>
      <w:r w:rsidR="003D0407" w:rsidRPr="003D0407">
        <w:rPr>
          <w:rFonts w:ascii="Titillium" w:hAnsi="Titillium" w:cstheme="minorHAnsi"/>
          <w:i/>
          <w:iCs/>
          <w:sz w:val="20"/>
          <w:szCs w:val="20"/>
        </w:rPr>
        <w:t xml:space="preserve">Accordo e Addendum Hub, </w:t>
      </w:r>
      <w:proofErr w:type="spellStart"/>
      <w:r w:rsidR="003D0407" w:rsidRPr="003D0407">
        <w:rPr>
          <w:rFonts w:ascii="Titillium" w:hAnsi="Titillium" w:cstheme="minorHAnsi"/>
          <w:i/>
          <w:iCs/>
          <w:sz w:val="20"/>
          <w:szCs w:val="20"/>
        </w:rPr>
        <w:t>Spoke</w:t>
      </w:r>
      <w:proofErr w:type="spellEnd"/>
      <w:r w:rsidR="003D0407" w:rsidRPr="003D0407">
        <w:rPr>
          <w:rFonts w:ascii="Titillium" w:hAnsi="Titillium" w:cstheme="minorHAnsi"/>
          <w:i/>
          <w:iCs/>
          <w:sz w:val="20"/>
          <w:szCs w:val="20"/>
        </w:rPr>
        <w:t xml:space="preserve"> e Affiliati del</w:t>
      </w:r>
      <w:r w:rsidR="003D0407">
        <w:rPr>
          <w:rFonts w:ascii="Titillium" w:hAnsi="Titillium" w:cstheme="minorHAnsi"/>
          <w:i/>
          <w:iCs/>
          <w:sz w:val="20"/>
          <w:szCs w:val="20"/>
        </w:rPr>
        <w:t xml:space="preserve"> Partenariato Esteso </w:t>
      </w:r>
      <w:r w:rsidR="003D0407" w:rsidRPr="003D0407">
        <w:rPr>
          <w:rFonts w:ascii="Titillium" w:hAnsi="Titillium" w:cstheme="minorHAnsi"/>
          <w:i/>
          <w:iCs/>
          <w:sz w:val="20"/>
          <w:szCs w:val="20"/>
        </w:rPr>
        <w:t>RESTART</w:t>
      </w:r>
      <w:r w:rsidR="003D0407">
        <w:rPr>
          <w:rFonts w:ascii="Titillium" w:hAnsi="Titillium" w:cstheme="minorHAnsi"/>
          <w:sz w:val="20"/>
          <w:szCs w:val="20"/>
        </w:rPr>
        <w:t xml:space="preserve"> </w:t>
      </w:r>
      <w:r w:rsidR="00F42CF4">
        <w:rPr>
          <w:rFonts w:ascii="Titillium" w:hAnsi="Titillium" w:cstheme="minorHAnsi"/>
          <w:sz w:val="20"/>
          <w:szCs w:val="20"/>
        </w:rPr>
        <w:t xml:space="preserve">e </w:t>
      </w:r>
      <w:r w:rsidR="001845CA" w:rsidRPr="001845CA">
        <w:rPr>
          <w:rFonts w:ascii="Titillium" w:hAnsi="Titillium" w:cstheme="minorHAnsi"/>
          <w:sz w:val="20"/>
          <w:szCs w:val="20"/>
        </w:rPr>
        <w:t>si obbliga</w:t>
      </w:r>
      <w:r w:rsidR="00F42CF4">
        <w:rPr>
          <w:rFonts w:ascii="Titillium" w:hAnsi="Titillium" w:cstheme="minorHAnsi"/>
          <w:sz w:val="20"/>
          <w:szCs w:val="20"/>
        </w:rPr>
        <w:t>no</w:t>
      </w:r>
      <w:r w:rsidR="001845CA" w:rsidRPr="001845CA">
        <w:rPr>
          <w:rFonts w:ascii="Titillium" w:hAnsi="Titillium" w:cstheme="minorHAnsi"/>
          <w:sz w:val="20"/>
          <w:szCs w:val="20"/>
        </w:rPr>
        <w:t xml:space="preserve">, per quanto di </w:t>
      </w:r>
      <w:proofErr w:type="gramStart"/>
      <w:r w:rsidR="00F42CF4">
        <w:rPr>
          <w:rFonts w:ascii="Titillium" w:hAnsi="Titillium" w:cstheme="minorHAnsi"/>
          <w:sz w:val="20"/>
          <w:szCs w:val="20"/>
        </w:rPr>
        <w:t xml:space="preserve">loro </w:t>
      </w:r>
      <w:r w:rsidR="001845CA" w:rsidRPr="001845CA">
        <w:rPr>
          <w:rFonts w:ascii="Titillium" w:hAnsi="Titillium" w:cstheme="minorHAnsi"/>
          <w:sz w:val="20"/>
          <w:szCs w:val="20"/>
        </w:rPr>
        <w:t xml:space="preserve"> competenza</w:t>
      </w:r>
      <w:proofErr w:type="gramEnd"/>
      <w:r w:rsidR="001845CA" w:rsidRPr="001845CA">
        <w:rPr>
          <w:rFonts w:ascii="Titillium" w:hAnsi="Titillium" w:cstheme="minorHAnsi"/>
          <w:sz w:val="20"/>
          <w:szCs w:val="20"/>
        </w:rPr>
        <w:t>, a porre in essere quanto necessario ed opportuno al fine di consentire all’Hub</w:t>
      </w:r>
      <w:r w:rsidR="00F42CF4">
        <w:rPr>
          <w:rFonts w:ascii="Titillium" w:hAnsi="Titillium" w:cstheme="minorHAnsi"/>
          <w:sz w:val="20"/>
          <w:szCs w:val="20"/>
        </w:rPr>
        <w:t xml:space="preserve"> e allo </w:t>
      </w:r>
      <w:proofErr w:type="spellStart"/>
      <w:r w:rsidR="00F42CF4">
        <w:rPr>
          <w:rFonts w:ascii="Titillium" w:hAnsi="Titillium" w:cstheme="minorHAnsi"/>
          <w:sz w:val="20"/>
          <w:szCs w:val="20"/>
        </w:rPr>
        <w:t>Spoke</w:t>
      </w:r>
      <w:proofErr w:type="spellEnd"/>
      <w:r w:rsidR="001845CA" w:rsidRPr="001845CA">
        <w:rPr>
          <w:rFonts w:ascii="Titillium" w:hAnsi="Titillium" w:cstheme="minorHAnsi"/>
          <w:sz w:val="20"/>
          <w:szCs w:val="20"/>
        </w:rPr>
        <w:t xml:space="preserve"> il rispetto dei predetti impegni.</w:t>
      </w:r>
    </w:p>
    <w:p w14:paraId="0CF7826E" w14:textId="0A7AC216"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lastRenderedPageBreak/>
        <w:t xml:space="preserve">In particolare, </w:t>
      </w:r>
      <w:r w:rsidR="00E5492A">
        <w:rPr>
          <w:rFonts w:ascii="Titillium" w:hAnsi="Titillium" w:cstheme="minorHAnsi"/>
          <w:sz w:val="20"/>
          <w:szCs w:val="20"/>
        </w:rPr>
        <w:t xml:space="preserve">ogni Beneficiario </w:t>
      </w:r>
      <w:r w:rsidRPr="001845CA">
        <w:rPr>
          <w:rFonts w:ascii="Titillium" w:hAnsi="Titillium" w:cstheme="minorHAnsi"/>
          <w:sz w:val="20"/>
          <w:szCs w:val="20"/>
        </w:rPr>
        <w:t>si obbliga:</w:t>
      </w:r>
    </w:p>
    <w:p w14:paraId="0E537BF3" w14:textId="535ACA9D"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dare piena attuazione alle attività progettuali di sua competenza, nel rispetto del Cronoprogramma di avanzamento tecnico-scientifico di cui all’Allegato </w:t>
      </w:r>
      <w:r w:rsidR="00E5492A" w:rsidRPr="00F42CF4">
        <w:rPr>
          <w:rFonts w:ascii="Titillium" w:hAnsi="Titillium" w:cstheme="minorHAnsi"/>
          <w:sz w:val="20"/>
          <w:szCs w:val="20"/>
          <w:highlight w:val="green"/>
        </w:rPr>
        <w:t>…</w:t>
      </w:r>
      <w:r w:rsidR="00E5492A">
        <w:rPr>
          <w:rFonts w:ascii="Titillium" w:hAnsi="Titillium" w:cstheme="minorHAnsi"/>
          <w:sz w:val="20"/>
          <w:szCs w:val="20"/>
        </w:rPr>
        <w:t xml:space="preserve"> </w:t>
      </w:r>
      <w:r w:rsidRPr="001845CA">
        <w:rPr>
          <w:rFonts w:ascii="Titillium" w:hAnsi="Titillium" w:cstheme="minorHAnsi"/>
          <w:sz w:val="20"/>
          <w:szCs w:val="20"/>
        </w:rPr>
        <w:t xml:space="preserve">e </w:t>
      </w:r>
      <w:r w:rsidR="00E5492A">
        <w:rPr>
          <w:rFonts w:ascii="Titillium" w:hAnsi="Titillium" w:cstheme="minorHAnsi"/>
          <w:sz w:val="20"/>
          <w:szCs w:val="20"/>
        </w:rPr>
        <w:t xml:space="preserve">del </w:t>
      </w:r>
      <w:r w:rsidRPr="001845CA">
        <w:rPr>
          <w:rFonts w:ascii="Titillium" w:hAnsi="Titillium" w:cstheme="minorHAnsi"/>
          <w:sz w:val="20"/>
          <w:szCs w:val="20"/>
        </w:rPr>
        <w:t xml:space="preserve">Piano </w:t>
      </w:r>
      <w:r w:rsidR="00E5492A">
        <w:rPr>
          <w:rFonts w:ascii="Titillium" w:hAnsi="Titillium" w:cstheme="minorHAnsi"/>
          <w:sz w:val="20"/>
          <w:szCs w:val="20"/>
        </w:rPr>
        <w:t>economico</w:t>
      </w:r>
      <w:r w:rsidR="003D0407">
        <w:rPr>
          <w:rFonts w:ascii="Titillium" w:hAnsi="Titillium" w:cstheme="minorHAnsi"/>
          <w:sz w:val="20"/>
          <w:szCs w:val="20"/>
        </w:rPr>
        <w:t xml:space="preserve"> finanziario </w:t>
      </w:r>
      <w:r w:rsidR="003D0407" w:rsidRPr="001845CA">
        <w:rPr>
          <w:rFonts w:ascii="Titillium" w:hAnsi="Titillium" w:cstheme="minorHAnsi"/>
          <w:sz w:val="20"/>
          <w:szCs w:val="20"/>
        </w:rPr>
        <w:t>di</w:t>
      </w:r>
      <w:r w:rsidRPr="001845CA">
        <w:rPr>
          <w:rFonts w:ascii="Titillium" w:hAnsi="Titillium" w:cstheme="minorHAnsi"/>
          <w:sz w:val="20"/>
          <w:szCs w:val="20"/>
        </w:rPr>
        <w:t xml:space="preserve"> cui all’Allegato</w:t>
      </w:r>
      <w:r w:rsidR="00E5492A">
        <w:rPr>
          <w:rFonts w:ascii="Titillium" w:hAnsi="Titillium" w:cstheme="minorHAnsi"/>
          <w:sz w:val="20"/>
          <w:szCs w:val="20"/>
        </w:rPr>
        <w:t xml:space="preserve"> </w:t>
      </w:r>
      <w:r w:rsidR="00E5492A" w:rsidRPr="00F42CF4">
        <w:rPr>
          <w:rFonts w:ascii="Titillium" w:hAnsi="Titillium" w:cstheme="minorHAnsi"/>
          <w:sz w:val="20"/>
          <w:szCs w:val="20"/>
          <w:highlight w:val="green"/>
        </w:rPr>
        <w:t>….</w:t>
      </w:r>
      <w:r w:rsidR="00E5492A">
        <w:rPr>
          <w:rFonts w:ascii="Titillium" w:hAnsi="Titillium" w:cstheme="minorHAnsi"/>
          <w:sz w:val="20"/>
          <w:szCs w:val="20"/>
        </w:rPr>
        <w:t xml:space="preserve"> </w:t>
      </w:r>
      <w:r w:rsidRPr="001845CA">
        <w:rPr>
          <w:rFonts w:ascii="Titillium" w:hAnsi="Titillium" w:cstheme="minorHAnsi"/>
          <w:sz w:val="20"/>
          <w:szCs w:val="20"/>
        </w:rPr>
        <w:t>del Decreto di Concessione del Finanziamento;</w:t>
      </w:r>
    </w:p>
    <w:p w14:paraId="33C6BF6B" w14:textId="6B8059FD"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rispettare tutte le disposizioni previste dalla normativa applicabile, di cui all’Art. 3 del presente </w:t>
      </w:r>
      <w:r w:rsidR="00CC5A7C">
        <w:rPr>
          <w:rFonts w:ascii="Titillium" w:hAnsi="Titillium" w:cstheme="minorHAnsi"/>
          <w:sz w:val="20"/>
          <w:szCs w:val="20"/>
        </w:rPr>
        <w:t>a</w:t>
      </w:r>
      <w:r w:rsidRPr="001845CA">
        <w:rPr>
          <w:rFonts w:ascii="Titillium" w:hAnsi="Titillium" w:cstheme="minorHAnsi"/>
          <w:sz w:val="20"/>
          <w:szCs w:val="20"/>
        </w:rPr>
        <w:t>ccordo;</w:t>
      </w:r>
    </w:p>
    <w:p w14:paraId="6AAA30CE"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sz w:val="20"/>
          <w:szCs w:val="20"/>
        </w:rPr>
        <w:t xml:space="preserve">ad assicurare l’adozione di misure adeguate volte a rispettare il principio di sana gestione finanziaria secondo quanto disciplinato nel Regolamento finanziario (UE, </w:t>
      </w:r>
      <w:proofErr w:type="spellStart"/>
      <w:r w:rsidRPr="001845CA">
        <w:rPr>
          <w:rFonts w:ascii="Titillium" w:hAnsi="Titillium"/>
          <w:sz w:val="20"/>
          <w:szCs w:val="20"/>
        </w:rPr>
        <w:t>Euratom</w:t>
      </w:r>
      <w:proofErr w:type="spellEnd"/>
      <w:r w:rsidRPr="001845CA">
        <w:rPr>
          <w:rFonts w:ascii="Titillium" w:hAnsi="Titillium"/>
          <w:sz w:val="20"/>
          <w:szCs w:val="20"/>
        </w:rPr>
        <w:t xml:space="preserve">) 2018/1046 e nell’art.22 del Regolamento (UE) 2021/241, in particolare in materia di prevenzione dei conflitti di interessi, delle frodi, della corruzione e di recupero e restituzione dei fondi che sono stati indebitamente assegnati; </w:t>
      </w:r>
    </w:p>
    <w:p w14:paraId="1E1F2CE0"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rispettare per tutto il ciclo di vita del progetto, a pena di sospensione o revoca del finanziamento in caso di accertata violazione, le prescrizioni in materia di DNSH ai sensi dell'Art. 17 del Reg (UE) 2020/852 e relativi atti connessi, nonché ad assicurare che il progetto non arrechi danno significativo a nessuno dei sei obiettivi ambientali indicati all’art. 17 del Reg (UE) 2020/852, e in particolare: </w:t>
      </w:r>
    </w:p>
    <w:p w14:paraId="2D093F47" w14:textId="77777777" w:rsidR="001845CA" w:rsidRPr="001845CA" w:rsidRDefault="001845CA" w:rsidP="00FE6FB9">
      <w:pPr>
        <w:pStyle w:val="Paragrafoelenco"/>
        <w:numPr>
          <w:ilvl w:val="1"/>
          <w:numId w:val="4"/>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alla mitigazione dei cambiamenti climatici;</w:t>
      </w:r>
    </w:p>
    <w:p w14:paraId="56CD5F95" w14:textId="77777777" w:rsidR="001845CA" w:rsidRPr="001845CA" w:rsidRDefault="001845CA" w:rsidP="00FE6FB9">
      <w:pPr>
        <w:pStyle w:val="Paragrafoelenco"/>
        <w:numPr>
          <w:ilvl w:val="1"/>
          <w:numId w:val="4"/>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all’adattamento ai cambiamenti climatici;</w:t>
      </w:r>
    </w:p>
    <w:p w14:paraId="1FD8BA56" w14:textId="77777777" w:rsidR="001845CA" w:rsidRPr="001845CA" w:rsidRDefault="001845CA" w:rsidP="00FE6FB9">
      <w:pPr>
        <w:pStyle w:val="Paragrafoelenco"/>
        <w:numPr>
          <w:ilvl w:val="1"/>
          <w:numId w:val="4"/>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all’uso sostenibile e alla protezione delle acque e delle risorse marine;</w:t>
      </w:r>
    </w:p>
    <w:p w14:paraId="58713B99" w14:textId="77777777" w:rsidR="001845CA" w:rsidRPr="001845CA" w:rsidRDefault="001845CA" w:rsidP="00FE6FB9">
      <w:pPr>
        <w:pStyle w:val="Paragrafoelenco"/>
        <w:numPr>
          <w:ilvl w:val="1"/>
          <w:numId w:val="4"/>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all’economia circolare, compresi la prevenzione e il riciclaggio dei rifiuti;</w:t>
      </w:r>
    </w:p>
    <w:p w14:paraId="0B084BEE" w14:textId="77777777" w:rsidR="001845CA" w:rsidRPr="001845CA" w:rsidRDefault="001845CA" w:rsidP="00FE6FB9">
      <w:pPr>
        <w:pStyle w:val="Paragrafoelenco"/>
        <w:numPr>
          <w:ilvl w:val="1"/>
          <w:numId w:val="4"/>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alla prevenzione e alla riduzione dell’inquinamento nell’acqua o nel suolo;</w:t>
      </w:r>
    </w:p>
    <w:p w14:paraId="585599CA" w14:textId="77777777" w:rsidR="001845CA" w:rsidRPr="001845CA" w:rsidRDefault="001845CA" w:rsidP="00FE6FB9">
      <w:pPr>
        <w:pStyle w:val="Paragrafoelenco"/>
        <w:numPr>
          <w:ilvl w:val="1"/>
          <w:numId w:val="4"/>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alla protezione e al ripristino della biodiversità e degli ecosistemi;</w:t>
      </w:r>
    </w:p>
    <w:p w14:paraId="66F9BA4A"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rispettare le indicazioni contenute nell’Allegato alla Circolare MEF del 30 dicembre 2021, n. 32, denominato “Guida operativa per il rispetto del principio di non arrecare danno significativo all’ambiente (DNSH)”, (di seguito “Guida DNSH”) incluse quelle riguardanti il Regime associato alla misura a cui fa riferimento il progetto, le schede tecniche associate alla misura e le relative checklist;</w:t>
      </w:r>
    </w:p>
    <w:p w14:paraId="156C95E8"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rispettare le indicazioni contenute nella “Guida DNSH”;</w:t>
      </w:r>
    </w:p>
    <w:p w14:paraId="01BFA3C7"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non svolgere all’interno del progetto le seguenti attività di ricerca cosiddetta «</w:t>
      </w:r>
      <w:proofErr w:type="spellStart"/>
      <w:r w:rsidRPr="001845CA">
        <w:rPr>
          <w:rFonts w:ascii="Titillium" w:hAnsi="Titillium" w:cstheme="minorHAnsi"/>
          <w:sz w:val="20"/>
          <w:szCs w:val="20"/>
        </w:rPr>
        <w:t>brown</w:t>
      </w:r>
      <w:proofErr w:type="spellEnd"/>
      <w:r w:rsidRPr="001845CA">
        <w:rPr>
          <w:rFonts w:ascii="Titillium" w:hAnsi="Titillium" w:cstheme="minorHAnsi"/>
          <w:sz w:val="20"/>
          <w:szCs w:val="20"/>
        </w:rPr>
        <w:t>» in conformità alla Comunicazione della Commissione UE 2021/C 58/01 “Orientamenti tecnici sull’applicazione del principio DNSH”:</w:t>
      </w:r>
    </w:p>
    <w:p w14:paraId="2FFAA924" w14:textId="77777777" w:rsidR="001845CA" w:rsidRPr="001845CA" w:rsidRDefault="001845CA" w:rsidP="00FE6FB9">
      <w:pPr>
        <w:pStyle w:val="Paragrafoelenco"/>
        <w:numPr>
          <w:ilvl w:val="0"/>
          <w:numId w:val="8"/>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attività connesse ai combustibili fossili, compreso l’uso a valle;</w:t>
      </w:r>
    </w:p>
    <w:p w14:paraId="3E378520" w14:textId="77777777" w:rsidR="001845CA" w:rsidRPr="001845CA" w:rsidRDefault="001845CA" w:rsidP="00FE6FB9">
      <w:pPr>
        <w:pStyle w:val="Paragrafoelenco"/>
        <w:numPr>
          <w:ilvl w:val="0"/>
          <w:numId w:val="8"/>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attività nell’ambito del sistema di scambio di quote di emissione dell’UE (ETS) che generano emissioni di gas a effetto serra previste non inferiori ai pertinenti parametri di riferimento;</w:t>
      </w:r>
    </w:p>
    <w:p w14:paraId="72FAEC32" w14:textId="77777777" w:rsidR="001845CA" w:rsidRPr="001845CA" w:rsidRDefault="001845CA" w:rsidP="00FE6FB9">
      <w:pPr>
        <w:pStyle w:val="Paragrafoelenco"/>
        <w:numPr>
          <w:ilvl w:val="0"/>
          <w:numId w:val="8"/>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attività connesse alle discariche di rifiuti agli inceneritori e agli impianti di trattamento meccanico biologico;</w:t>
      </w:r>
    </w:p>
    <w:p w14:paraId="1F44369F" w14:textId="77777777" w:rsidR="001845CA" w:rsidRPr="001845CA" w:rsidRDefault="001845CA" w:rsidP="00FE6FB9">
      <w:pPr>
        <w:pStyle w:val="Paragrafoelenco"/>
        <w:numPr>
          <w:ilvl w:val="0"/>
          <w:numId w:val="8"/>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attività nel cui ambito lo smaltimento a lungo termine dei rifiuti potrebbe causare un danno all’ambiente e il requisito di conformità alla pertinente normativa ambientale dell’UE e nazionale;</w:t>
      </w:r>
    </w:p>
    <w:p w14:paraId="16F0405D"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rispettare le indicazioni previste dalla legislazione nazionale applicabile, ivi comprese quelle previste dal Codice dell'ambiente (Decreto Legislativo 3 aprile 2006, n. 152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 xml:space="preserve">.) e pertanto: (i) ad effettuare la preventiva verifica di assoggettabilità alla procedura di valutazione ambientale di cui alla Parte Seconda, Titolo Terzo del D.lgs. n. 152/2006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 xml:space="preserve">. e dai relativi Allegati (progetti di competenza statale, regionale o delle province autonome) e (ii) ad attivare, qualora applicabile, la procedura di VIA presso le Autorità competenti in materia per i progetti ricadenti negli Allegati 2-bis e IV alla Parte Seconda del D.lgs. n. 152/2006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w:t>
      </w:r>
    </w:p>
    <w:p w14:paraId="19E1F805"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ad assicurare che la realizzazione delle attività progettuali sia coerente con i principi del tagging digitale, climatico, della parità di genere (Gender Equality) in relazione agli articoli 2, 3, paragrafo 3, del TUE, 8, 10, 19 e 157 del TFUE, e 21 e 23 della Carta dei diritti fondamentali dell’Unione europea, della protezione e valorizzazione dei giovani e del superamento dei divari territoriali;</w:t>
      </w:r>
    </w:p>
    <w:p w14:paraId="0CF48F31" w14:textId="445B4723"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adottare proprie procedure interne, assicurando la conformità ai regolamenti comunitari e alla normativa nazionale, nonché a quanto indicato </w:t>
      </w:r>
      <w:r w:rsidR="009819BA">
        <w:rPr>
          <w:rFonts w:ascii="Titillium" w:hAnsi="Titillium" w:cstheme="minorHAnsi"/>
          <w:sz w:val="20"/>
          <w:szCs w:val="20"/>
        </w:rPr>
        <w:t xml:space="preserve">dall’Hub e </w:t>
      </w:r>
      <w:r w:rsidRPr="001845CA">
        <w:rPr>
          <w:rFonts w:ascii="Titillium" w:hAnsi="Titillium" w:cstheme="minorHAnsi"/>
          <w:sz w:val="20"/>
          <w:szCs w:val="20"/>
        </w:rPr>
        <w:t>dal MUR per l’attuazione degli interventi del PNRR;</w:t>
      </w:r>
    </w:p>
    <w:p w14:paraId="1D260732"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garantire, nel caso in cui si faccia ricorso alle procedure di appalto, il rispetto di quanto previsto dal d.lgs. 50/2016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w:t>
      </w:r>
    </w:p>
    <w:p w14:paraId="56EECC13"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rispettare, in caso di ricorso diretto a esperti esterni, la conformità alla pertinente disciplina comunitaria e nazionale, nonché alle eventuali specifiche circolari/disciplinari che potranno essere adottati dal MUR;</w:t>
      </w:r>
    </w:p>
    <w:p w14:paraId="2217D69C"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rispettare, nel caso di utilizzo delle opzioni di costo semplificato che comportino l’adozione preventiva di una metodologia dei costi, quanto indicato nella relativa metodologia, previa approvazione da parte del MUR;</w:t>
      </w:r>
    </w:p>
    <w:p w14:paraId="0790F31F" w14:textId="0397898E"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lastRenderedPageBreak/>
        <w:t>a adottare il sistema informatico utilizzato dal MUR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e</w:t>
      </w:r>
      <w:r w:rsidR="009819BA">
        <w:rPr>
          <w:rFonts w:ascii="Titillium" w:hAnsi="Titillium" w:cstheme="minorHAnsi"/>
          <w:sz w:val="20"/>
          <w:szCs w:val="20"/>
        </w:rPr>
        <w:t xml:space="preserve"> dall’Hub e dall</w:t>
      </w:r>
      <w:r w:rsidR="00E5492A">
        <w:rPr>
          <w:rFonts w:ascii="Titillium" w:hAnsi="Titillium" w:cstheme="minorHAnsi"/>
          <w:sz w:val="20"/>
          <w:szCs w:val="20"/>
        </w:rPr>
        <w:t xml:space="preserve">o </w:t>
      </w:r>
      <w:proofErr w:type="spellStart"/>
      <w:r w:rsidR="00E5492A">
        <w:rPr>
          <w:rFonts w:ascii="Titillium" w:hAnsi="Titillium" w:cstheme="minorHAnsi"/>
          <w:sz w:val="20"/>
          <w:szCs w:val="20"/>
        </w:rPr>
        <w:t>Spoke</w:t>
      </w:r>
      <w:proofErr w:type="spellEnd"/>
      <w:r w:rsidRPr="001845CA">
        <w:rPr>
          <w:rFonts w:ascii="Titillium" w:hAnsi="Titillium" w:cstheme="minorHAnsi"/>
          <w:sz w:val="20"/>
          <w:szCs w:val="20"/>
        </w:rPr>
        <w:t>;</w:t>
      </w:r>
    </w:p>
    <w:p w14:paraId="5ECB9492" w14:textId="20F0DCBA"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caricare sul sistema informatico adottato dal MUR i dati e la documentazione utile all’esecuzione dei controlli preliminari di conformità normativa sulle procedure di aggiudicazione da parte dell’Ufficio competente per i controlli da parte </w:t>
      </w:r>
      <w:r w:rsidR="00E5492A">
        <w:rPr>
          <w:rFonts w:ascii="Titillium" w:hAnsi="Titillium" w:cstheme="minorHAnsi"/>
          <w:sz w:val="20"/>
          <w:szCs w:val="20"/>
        </w:rPr>
        <w:t xml:space="preserve">dello </w:t>
      </w:r>
      <w:proofErr w:type="spellStart"/>
      <w:r w:rsidR="00E5492A">
        <w:rPr>
          <w:rFonts w:ascii="Titillium" w:hAnsi="Titillium" w:cstheme="minorHAnsi"/>
          <w:sz w:val="20"/>
          <w:szCs w:val="20"/>
        </w:rPr>
        <w:t>Spoke</w:t>
      </w:r>
      <w:proofErr w:type="spellEnd"/>
      <w:r w:rsidRPr="001845CA">
        <w:rPr>
          <w:rFonts w:ascii="Titillium" w:hAnsi="Titillium" w:cstheme="minorHAnsi"/>
          <w:sz w:val="20"/>
          <w:szCs w:val="20"/>
        </w:rPr>
        <w:t xml:space="preserve"> </w:t>
      </w:r>
      <w:r w:rsidR="00F42CF4">
        <w:rPr>
          <w:rFonts w:ascii="Titillium" w:hAnsi="Titillium" w:cstheme="minorHAnsi"/>
          <w:sz w:val="20"/>
          <w:szCs w:val="20"/>
        </w:rPr>
        <w:t xml:space="preserve">e/o dell’Hub </w:t>
      </w:r>
      <w:r w:rsidRPr="001845CA">
        <w:rPr>
          <w:rFonts w:ascii="Titillium" w:hAnsi="Titillium" w:cstheme="minorHAnsi"/>
          <w:sz w:val="20"/>
          <w:szCs w:val="20"/>
        </w:rPr>
        <w:t>e/o del MUR, sulla base delle istruzioni contenute nella connessa manualistica predisposta dal Ministero;</w:t>
      </w:r>
    </w:p>
    <w:p w14:paraId="430F9A9A" w14:textId="1A0765AF"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comprovare il conseguimento degli obiettivi del progetto di ricerca, trasmettendo, con cadenza periodica ovvero su richiesta </w:t>
      </w:r>
      <w:r w:rsidR="00E5492A">
        <w:rPr>
          <w:rFonts w:ascii="Titillium" w:hAnsi="Titillium" w:cstheme="minorHAnsi"/>
          <w:sz w:val="20"/>
          <w:szCs w:val="20"/>
        </w:rPr>
        <w:t xml:space="preserve">dello </w:t>
      </w:r>
      <w:proofErr w:type="spellStart"/>
      <w:r w:rsidR="00E5492A">
        <w:rPr>
          <w:rFonts w:ascii="Titillium" w:hAnsi="Titillium" w:cstheme="minorHAnsi"/>
          <w:sz w:val="20"/>
          <w:szCs w:val="20"/>
        </w:rPr>
        <w:t>Spok</w:t>
      </w:r>
      <w:r w:rsidR="00F42CF4">
        <w:rPr>
          <w:rFonts w:ascii="Titillium" w:hAnsi="Titillium" w:cstheme="minorHAnsi"/>
          <w:sz w:val="20"/>
          <w:szCs w:val="20"/>
        </w:rPr>
        <w:t>e</w:t>
      </w:r>
      <w:proofErr w:type="spellEnd"/>
      <w:r w:rsidR="00E5492A">
        <w:rPr>
          <w:rFonts w:ascii="Titillium" w:hAnsi="Titillium" w:cstheme="minorHAnsi"/>
          <w:sz w:val="20"/>
          <w:szCs w:val="20"/>
        </w:rPr>
        <w:t xml:space="preserve"> </w:t>
      </w:r>
      <w:r w:rsidRPr="001845CA">
        <w:rPr>
          <w:rFonts w:ascii="Titillium" w:hAnsi="Titillium" w:cstheme="minorHAnsi"/>
          <w:sz w:val="20"/>
          <w:szCs w:val="20"/>
        </w:rPr>
        <w:t>e/o</w:t>
      </w:r>
      <w:r w:rsidR="00F42CF4">
        <w:rPr>
          <w:rFonts w:ascii="Titillium" w:hAnsi="Titillium" w:cstheme="minorHAnsi"/>
          <w:sz w:val="20"/>
          <w:szCs w:val="20"/>
        </w:rPr>
        <w:t xml:space="preserve"> dell’Hub</w:t>
      </w:r>
      <w:r w:rsidRPr="001845CA">
        <w:rPr>
          <w:rFonts w:ascii="Titillium" w:hAnsi="Titillium" w:cstheme="minorHAnsi"/>
          <w:sz w:val="20"/>
          <w:szCs w:val="20"/>
        </w:rPr>
        <w:t xml:space="preserve"> </w:t>
      </w:r>
      <w:r w:rsidR="00F42CF4">
        <w:rPr>
          <w:rFonts w:ascii="Titillium" w:hAnsi="Titillium" w:cstheme="minorHAnsi"/>
          <w:sz w:val="20"/>
          <w:szCs w:val="20"/>
        </w:rPr>
        <w:t xml:space="preserve">e/o </w:t>
      </w:r>
      <w:r w:rsidRPr="001845CA">
        <w:rPr>
          <w:rFonts w:ascii="Titillium" w:hAnsi="Titillium" w:cstheme="minorHAnsi"/>
          <w:sz w:val="20"/>
          <w:szCs w:val="20"/>
        </w:rPr>
        <w:t xml:space="preserve">del MUR, ogni informazione necessaria alla corretta alimentazione del Sistema </w:t>
      </w:r>
      <w:proofErr w:type="spellStart"/>
      <w:r w:rsidRPr="001845CA">
        <w:rPr>
          <w:rFonts w:ascii="Titillium" w:hAnsi="Titillium" w:cstheme="minorHAnsi"/>
          <w:sz w:val="20"/>
          <w:szCs w:val="20"/>
        </w:rPr>
        <w:t>ReGiS</w:t>
      </w:r>
      <w:proofErr w:type="spellEnd"/>
      <w:r w:rsidRPr="001845CA">
        <w:rPr>
          <w:rFonts w:ascii="Titillium" w:hAnsi="Titillium" w:cstheme="minorHAnsi"/>
          <w:sz w:val="20"/>
          <w:szCs w:val="20"/>
        </w:rPr>
        <w:t>;</w:t>
      </w:r>
    </w:p>
    <w:p w14:paraId="48AADF8F"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garantire la correttezza, l’affidabilità e la congruenza con il tracciato informativo previsto per l’alimentazione del sistema informativo PNRR (</w:t>
      </w:r>
      <w:proofErr w:type="spellStart"/>
      <w:r w:rsidRPr="001845CA">
        <w:rPr>
          <w:rFonts w:ascii="Titillium" w:hAnsi="Titillium" w:cstheme="minorHAnsi"/>
          <w:sz w:val="20"/>
          <w:szCs w:val="20"/>
        </w:rPr>
        <w:t>ReGiS</w:t>
      </w:r>
      <w:proofErr w:type="spellEnd"/>
      <w:r w:rsidRPr="001845CA">
        <w:rPr>
          <w:rFonts w:ascii="Titillium" w:hAnsi="Titillium" w:cstheme="minorHAnsi"/>
          <w:sz w:val="20"/>
          <w:szCs w:val="20"/>
        </w:rPr>
        <w:t>) dei dati di monitoraggio finanziario, fisico e procedurale, ponendo particolare attenzione a raccogliere anche i dati utili al monitoraggio degli indicatori comuni associati alla misura, ossia il numero di ricercatori che lavorano in centri di ricerca beneficiari di un sostegno (indicatore comune 8), differenziato per genere, e il numero di imprese beneficiarie di un sostegno (indicatore comune 9) evidenziandone gli elementi essenziali quali dimensioni e codice ATECO;</w:t>
      </w:r>
    </w:p>
    <w:p w14:paraId="5E4F5414" w14:textId="11E6BD12"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produrre, nei termini indicati al successivo </w:t>
      </w:r>
      <w:r w:rsidRPr="001845CA">
        <w:rPr>
          <w:rFonts w:ascii="Titillium" w:hAnsi="Titillium" w:cstheme="minorHAnsi"/>
          <w:sz w:val="20"/>
          <w:szCs w:val="20"/>
        </w:rPr>
        <w:fldChar w:fldCharType="begin"/>
      </w:r>
      <w:r w:rsidRPr="001845CA">
        <w:rPr>
          <w:rFonts w:ascii="Titillium" w:hAnsi="Titillium" w:cstheme="minorHAnsi"/>
          <w:sz w:val="20"/>
          <w:szCs w:val="20"/>
        </w:rPr>
        <w:instrText xml:space="preserve"> REF _Ref112322270 \h  \* MERGEFORMAT </w:instrText>
      </w:r>
      <w:r w:rsidRPr="001845CA">
        <w:rPr>
          <w:rFonts w:ascii="Titillium" w:hAnsi="Titillium" w:cstheme="minorHAnsi"/>
          <w:sz w:val="20"/>
          <w:szCs w:val="20"/>
        </w:rPr>
      </w:r>
      <w:r w:rsidRPr="001845CA">
        <w:rPr>
          <w:rFonts w:ascii="Titillium" w:hAnsi="Titillium" w:cstheme="minorHAnsi"/>
          <w:sz w:val="20"/>
          <w:szCs w:val="20"/>
        </w:rPr>
        <w:fldChar w:fldCharType="separate"/>
      </w:r>
      <w:r w:rsidR="007C228C" w:rsidRPr="001845CA">
        <w:rPr>
          <w:rFonts w:ascii="Titillium" w:hAnsi="Titillium"/>
          <w:sz w:val="20"/>
          <w:szCs w:val="20"/>
        </w:rPr>
        <w:t>Art. 1</w:t>
      </w:r>
      <w:r w:rsidR="006B737B">
        <w:rPr>
          <w:rFonts w:ascii="Titillium" w:hAnsi="Titillium"/>
          <w:sz w:val="20"/>
          <w:szCs w:val="20"/>
        </w:rPr>
        <w:t>1</w:t>
      </w:r>
      <w:r w:rsidR="007C228C" w:rsidRPr="001845CA">
        <w:rPr>
          <w:rFonts w:ascii="Titillium" w:hAnsi="Titillium"/>
          <w:sz w:val="20"/>
          <w:szCs w:val="20"/>
        </w:rPr>
        <w:t xml:space="preserve"> - Procedura di rendicontazione della spesa</w:t>
      </w:r>
      <w:r w:rsidRPr="001845CA">
        <w:rPr>
          <w:rFonts w:ascii="Titillium" w:hAnsi="Titillium" w:cstheme="minorHAnsi"/>
          <w:sz w:val="20"/>
          <w:szCs w:val="20"/>
        </w:rPr>
        <w:fldChar w:fldCharType="end"/>
      </w:r>
      <w:r w:rsidRPr="001845CA">
        <w:rPr>
          <w:rFonts w:ascii="Titillium" w:hAnsi="Titillium" w:cstheme="minorHAnsi"/>
          <w:sz w:val="20"/>
          <w:szCs w:val="20"/>
        </w:rPr>
        <w:t>, la complessiva documentazione attestante le attività progettuali svolte, con particolare riferimento al conseguimento di milestone e target, intermedi e finali, previste dal progetto approvato, secondo le modalità e la modulistica indicata dal MUR;</w:t>
      </w:r>
    </w:p>
    <w:p w14:paraId="24596905" w14:textId="25EF81EF"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produrre nei termini indicati al successivo </w:t>
      </w:r>
      <w:r w:rsidRPr="001845CA">
        <w:rPr>
          <w:rFonts w:ascii="Titillium" w:hAnsi="Titillium" w:cstheme="minorHAnsi"/>
          <w:sz w:val="20"/>
          <w:szCs w:val="20"/>
        </w:rPr>
        <w:fldChar w:fldCharType="begin"/>
      </w:r>
      <w:r w:rsidRPr="001845CA">
        <w:rPr>
          <w:rFonts w:ascii="Titillium" w:hAnsi="Titillium" w:cstheme="minorHAnsi"/>
          <w:sz w:val="20"/>
          <w:szCs w:val="20"/>
        </w:rPr>
        <w:instrText xml:space="preserve"> REF _Ref112322270 \h  \* MERGEFORMAT </w:instrText>
      </w:r>
      <w:r w:rsidRPr="001845CA">
        <w:rPr>
          <w:rFonts w:ascii="Titillium" w:hAnsi="Titillium" w:cstheme="minorHAnsi"/>
          <w:sz w:val="20"/>
          <w:szCs w:val="20"/>
        </w:rPr>
      </w:r>
      <w:r w:rsidRPr="001845CA">
        <w:rPr>
          <w:rFonts w:ascii="Titillium" w:hAnsi="Titillium" w:cstheme="minorHAnsi"/>
          <w:sz w:val="20"/>
          <w:szCs w:val="20"/>
        </w:rPr>
        <w:fldChar w:fldCharType="separate"/>
      </w:r>
      <w:r w:rsidR="007C228C" w:rsidRPr="001845CA">
        <w:rPr>
          <w:rFonts w:ascii="Titillium" w:hAnsi="Titillium"/>
          <w:sz w:val="20"/>
          <w:szCs w:val="20"/>
        </w:rPr>
        <w:t>Art. 1</w:t>
      </w:r>
      <w:r w:rsidR="006B737B">
        <w:rPr>
          <w:rFonts w:ascii="Titillium" w:hAnsi="Titillium"/>
          <w:sz w:val="20"/>
          <w:szCs w:val="20"/>
        </w:rPr>
        <w:t>1</w:t>
      </w:r>
      <w:r w:rsidR="007C228C" w:rsidRPr="001845CA">
        <w:rPr>
          <w:rFonts w:ascii="Titillium" w:hAnsi="Titillium"/>
          <w:sz w:val="20"/>
          <w:szCs w:val="20"/>
        </w:rPr>
        <w:t xml:space="preserve"> - Procedura di rendicontazione della spesa</w:t>
      </w:r>
      <w:r w:rsidRPr="001845CA">
        <w:rPr>
          <w:rFonts w:ascii="Titillium" w:hAnsi="Titillium" w:cstheme="minorHAnsi"/>
          <w:sz w:val="20"/>
          <w:szCs w:val="20"/>
        </w:rPr>
        <w:fldChar w:fldCharType="end"/>
      </w:r>
      <w:r w:rsidRPr="001845CA">
        <w:rPr>
          <w:rFonts w:ascii="Titillium" w:hAnsi="Titillium" w:cstheme="minorHAnsi"/>
          <w:sz w:val="20"/>
          <w:szCs w:val="20"/>
        </w:rPr>
        <w:t>, la complessiva rendicontazione delle spese sostenute, secondo le modalità e la modulistica indicata dal MUR;</w:t>
      </w:r>
    </w:p>
    <w:p w14:paraId="151EB1EC"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fornire tutta la documentazione e tutte le informazioni richieste relativamente alle procedure e alle verifiche in relazione alle spese rendicontate conformemente alle procedure e agli strumenti che saranno definiti dal Ministero con successiva manualistica;</w:t>
      </w:r>
    </w:p>
    <w:p w14:paraId="559C5AB0"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garantire la conservazione della documentazione progettuale in fascicoli cartacei e/o informatici per almeno 5 (cinque) anni dalla data di conclusione del progetto della documentazione progettuale e dei documenti giustificativi relativi alle spese sostenute, al fine di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 MUR,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w:t>
      </w:r>
    </w:p>
    <w:p w14:paraId="6A4FF55D" w14:textId="28D4A339"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consentire, in ogni fase del procedimento, lo svolgimento di tutti i controlli, ispezioni e monitoraggi disposti dall</w:t>
      </w:r>
      <w:r w:rsidR="004509BD">
        <w:rPr>
          <w:rFonts w:ascii="Titillium" w:hAnsi="Titillium" w:cstheme="minorHAnsi"/>
          <w:sz w:val="20"/>
          <w:szCs w:val="20"/>
        </w:rPr>
        <w:t xml:space="preserve">o </w:t>
      </w:r>
      <w:proofErr w:type="spellStart"/>
      <w:r w:rsidR="004509BD">
        <w:rPr>
          <w:rFonts w:ascii="Titillium" w:hAnsi="Titillium" w:cstheme="minorHAnsi"/>
          <w:sz w:val="20"/>
          <w:szCs w:val="20"/>
        </w:rPr>
        <w:t>Spoke</w:t>
      </w:r>
      <w:proofErr w:type="spellEnd"/>
      <w:r w:rsidR="004509BD">
        <w:rPr>
          <w:rFonts w:ascii="Titillium" w:hAnsi="Titillium" w:cstheme="minorHAnsi"/>
          <w:sz w:val="20"/>
          <w:szCs w:val="20"/>
        </w:rPr>
        <w:t xml:space="preserve">, </w:t>
      </w:r>
      <w:r w:rsidRPr="001845CA">
        <w:rPr>
          <w:rFonts w:ascii="Titillium" w:hAnsi="Titillium" w:cstheme="minorHAnsi"/>
          <w:sz w:val="20"/>
          <w:szCs w:val="20"/>
        </w:rPr>
        <w:t>e/o dal</w:t>
      </w:r>
      <w:r w:rsidR="004509BD">
        <w:rPr>
          <w:rFonts w:ascii="Titillium" w:hAnsi="Titillium" w:cstheme="minorHAnsi"/>
          <w:sz w:val="20"/>
          <w:szCs w:val="20"/>
        </w:rPr>
        <w:t>l’Hub e/o dal</w:t>
      </w:r>
      <w:r w:rsidRPr="001845CA">
        <w:rPr>
          <w:rFonts w:ascii="Titillium" w:hAnsi="Titillium" w:cstheme="minorHAnsi"/>
          <w:sz w:val="20"/>
          <w:szCs w:val="20"/>
        </w:rPr>
        <w:t xml:space="preserve"> MUR, dall’Unità di Audit, dalla Commissione europea e da altri organismi autorizzati;</w:t>
      </w:r>
    </w:p>
    <w:p w14:paraId="1884F26A" w14:textId="0086817A"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ad attivare “bandi a cascata” finalizzati alla concessione di finanziamenti a soggetti esterni al Partenariato Esteso per attività di ricerca coerenti con il Programma di Ricerca e Innovazione. I bandi sono emanati sotto la responsabilità dello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nel rispetto delle disposizioni sugli aiuti di Stato, sui concorsi e sui contratti pubblici, nonché delle altre norme comunitarie e nazionali applicabili. Nel caso di bandi per la concessione di finanziamenti è responsabilità dello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raccogliere, validare e rendicontare all’Hub le spese sostenute dai beneficiari e provvedere al loro rimborso nel rispetto delle norme comunitarie e nazionali applicabili;</w:t>
      </w:r>
    </w:p>
    <w:p w14:paraId="3F548920" w14:textId="6943A75B"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fornire, - entro il termine massimo di </w:t>
      </w:r>
      <w:r w:rsidR="00926946">
        <w:rPr>
          <w:rFonts w:ascii="Titillium" w:hAnsi="Titillium" w:cstheme="minorHAnsi"/>
          <w:sz w:val="20"/>
          <w:szCs w:val="20"/>
        </w:rPr>
        <w:t>1</w:t>
      </w:r>
      <w:r w:rsidRPr="001845CA">
        <w:rPr>
          <w:rFonts w:ascii="Titillium" w:hAnsi="Titillium" w:cstheme="minorHAnsi"/>
          <w:sz w:val="20"/>
          <w:szCs w:val="20"/>
        </w:rPr>
        <w:t>5 (</w:t>
      </w:r>
      <w:r w:rsidR="00926946">
        <w:rPr>
          <w:rFonts w:ascii="Titillium" w:hAnsi="Titillium" w:cstheme="minorHAnsi"/>
          <w:sz w:val="20"/>
          <w:szCs w:val="20"/>
        </w:rPr>
        <w:t>quindici</w:t>
      </w:r>
      <w:r w:rsidRPr="001845CA">
        <w:rPr>
          <w:rFonts w:ascii="Titillium" w:hAnsi="Titillium" w:cstheme="minorHAnsi"/>
          <w:sz w:val="20"/>
          <w:szCs w:val="20"/>
        </w:rPr>
        <w:t>) giorni dalla data di conclusione delle attività progettuali di propria competenza – una relazione tecnica finale, al fine di consentire all</w:t>
      </w:r>
      <w:r w:rsidR="00926946">
        <w:rPr>
          <w:rFonts w:ascii="Titillium" w:hAnsi="Titillium" w:cstheme="minorHAnsi"/>
          <w:sz w:val="20"/>
          <w:szCs w:val="20"/>
        </w:rPr>
        <w:t xml:space="preserve">o </w:t>
      </w:r>
      <w:proofErr w:type="spellStart"/>
      <w:r w:rsidR="00926946">
        <w:rPr>
          <w:rFonts w:ascii="Titillium" w:hAnsi="Titillium" w:cstheme="minorHAnsi"/>
          <w:sz w:val="20"/>
          <w:szCs w:val="20"/>
        </w:rPr>
        <w:t>Spoke</w:t>
      </w:r>
      <w:proofErr w:type="spellEnd"/>
      <w:r w:rsidR="00926946">
        <w:rPr>
          <w:rFonts w:ascii="Titillium" w:hAnsi="Titillium" w:cstheme="minorHAnsi"/>
          <w:sz w:val="20"/>
          <w:szCs w:val="20"/>
        </w:rPr>
        <w:t xml:space="preserve"> </w:t>
      </w:r>
      <w:r w:rsidRPr="001845CA">
        <w:rPr>
          <w:rFonts w:ascii="Titillium" w:hAnsi="Titillium" w:cstheme="minorHAnsi"/>
          <w:sz w:val="20"/>
          <w:szCs w:val="20"/>
        </w:rPr>
        <w:t>la predisposizione della relazione unica per tutto il progetto, da redigersi secondo la modulistica prevista dall’</w:t>
      </w:r>
      <w:r w:rsidR="006B737B">
        <w:rPr>
          <w:rFonts w:ascii="Titillium" w:hAnsi="Titillium" w:cstheme="minorHAnsi"/>
          <w:sz w:val="20"/>
          <w:szCs w:val="20"/>
        </w:rPr>
        <w:t xml:space="preserve">Art. </w:t>
      </w:r>
      <w:r w:rsidRPr="001845CA">
        <w:rPr>
          <w:rFonts w:ascii="Titillium" w:hAnsi="Titillium" w:cstheme="minorHAnsi"/>
          <w:sz w:val="20"/>
          <w:szCs w:val="20"/>
        </w:rPr>
        <w:t>1</w:t>
      </w:r>
      <w:r w:rsidR="006B737B">
        <w:rPr>
          <w:rFonts w:ascii="Titillium" w:hAnsi="Titillium" w:cstheme="minorHAnsi"/>
          <w:sz w:val="20"/>
          <w:szCs w:val="20"/>
        </w:rPr>
        <w:t>5</w:t>
      </w:r>
      <w:r w:rsidRPr="001845CA">
        <w:rPr>
          <w:rFonts w:ascii="Titillium" w:hAnsi="Titillium" w:cstheme="minorHAnsi"/>
          <w:sz w:val="20"/>
          <w:szCs w:val="20"/>
        </w:rPr>
        <w:t>, comma 3 dell’Avviso e nel termine massimo di 30 giorni dalla data di conclusione dell’intero progetto;</w:t>
      </w:r>
    </w:p>
    <w:p w14:paraId="291D6871"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ad effettuare le spese, ai fini della tracciabilità delle risorse del PNRR, attraverso l’utilizzo di un’apposita codificazione contabile e informatizzata nel rispetto del Regolamento (UE) 2018/1046 del 18 luglio 2018, che stabilisce le regole finanziarie applicabili al bilancio generale dell’Unione, nonché a rispettare l’obbligo di indicare il CUP di cui all’Allegato E del Decreto di Concessione del Finanziamento, su tutti gli atti amministrativo/contabili relativi al progetto;</w:t>
      </w:r>
    </w:p>
    <w:p w14:paraId="683C8C64"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ad utilizzare un conto corrente dedicato necessario per l’erogazione dei pagamenti;</w:t>
      </w:r>
    </w:p>
    <w:p w14:paraId="75E2D442" w14:textId="7E7DB8B0"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garantire il raggiungimento degli obiettivi di </w:t>
      </w:r>
      <w:r w:rsidR="009819BA">
        <w:rPr>
          <w:rFonts w:ascii="Titillium" w:hAnsi="Titillium" w:cstheme="minorHAnsi"/>
          <w:sz w:val="20"/>
          <w:szCs w:val="20"/>
        </w:rPr>
        <w:t>p</w:t>
      </w:r>
      <w:r w:rsidRPr="001845CA">
        <w:rPr>
          <w:rFonts w:ascii="Titillium" w:hAnsi="Titillium" w:cstheme="minorHAnsi"/>
          <w:sz w:val="20"/>
          <w:szCs w:val="20"/>
        </w:rPr>
        <w:t>rogetto e, nel caso il budget utilizzato dal</w:t>
      </w:r>
      <w:r w:rsidR="00926946">
        <w:rPr>
          <w:rFonts w:ascii="Titillium" w:hAnsi="Titillium" w:cstheme="minorHAnsi"/>
          <w:sz w:val="20"/>
          <w:szCs w:val="20"/>
        </w:rPr>
        <w:t xml:space="preserve"> Beneficiario </w:t>
      </w:r>
      <w:r w:rsidRPr="001845CA">
        <w:rPr>
          <w:rFonts w:ascii="Titillium" w:hAnsi="Titillium" w:cstheme="minorHAnsi"/>
          <w:sz w:val="20"/>
          <w:szCs w:val="20"/>
        </w:rPr>
        <w:t xml:space="preserve">sia inferiore a quello assegnato secondo </w:t>
      </w:r>
      <w:r w:rsidR="00926946">
        <w:rPr>
          <w:rFonts w:ascii="Titillium" w:hAnsi="Titillium" w:cstheme="minorHAnsi"/>
          <w:sz w:val="20"/>
          <w:szCs w:val="20"/>
        </w:rPr>
        <w:t>il</w:t>
      </w:r>
      <w:r w:rsidRPr="001845CA">
        <w:rPr>
          <w:rFonts w:ascii="Titillium" w:hAnsi="Titillium" w:cstheme="minorHAnsi"/>
          <w:sz w:val="20"/>
          <w:szCs w:val="20"/>
        </w:rPr>
        <w:t xml:space="preserve"> Decreto di concessione, </w:t>
      </w:r>
      <w:r w:rsidR="00926946">
        <w:rPr>
          <w:rFonts w:ascii="Titillium" w:hAnsi="Titillium" w:cstheme="minorHAnsi"/>
          <w:sz w:val="20"/>
          <w:szCs w:val="20"/>
        </w:rPr>
        <w:t xml:space="preserve">il Beneficiario </w:t>
      </w:r>
      <w:r w:rsidRPr="001845CA">
        <w:rPr>
          <w:rFonts w:ascii="Titillium" w:hAnsi="Titillium" w:cstheme="minorHAnsi"/>
          <w:sz w:val="20"/>
          <w:szCs w:val="20"/>
        </w:rPr>
        <w:t xml:space="preserve">sarà finanziato in conformità ai costi ammissibili effettivamente e </w:t>
      </w:r>
      <w:r w:rsidRPr="001845CA">
        <w:rPr>
          <w:rFonts w:ascii="Titillium" w:hAnsi="Titillium" w:cstheme="minorHAnsi"/>
          <w:sz w:val="20"/>
          <w:szCs w:val="20"/>
        </w:rPr>
        <w:lastRenderedPageBreak/>
        <w:t xml:space="preserve">debitamente giustificati e riconosciuti, nel rispetto delle regole di rendicontazione del </w:t>
      </w:r>
      <w:r w:rsidR="00555FCF">
        <w:rPr>
          <w:rFonts w:ascii="Titillium" w:hAnsi="Titillium" w:cstheme="minorHAnsi"/>
          <w:sz w:val="20"/>
          <w:szCs w:val="20"/>
        </w:rPr>
        <w:t>p</w:t>
      </w:r>
      <w:r w:rsidRPr="001845CA">
        <w:rPr>
          <w:rFonts w:ascii="Titillium" w:hAnsi="Titillium" w:cstheme="minorHAnsi"/>
          <w:sz w:val="20"/>
          <w:szCs w:val="20"/>
        </w:rPr>
        <w:t xml:space="preserve">rogetto. Al contrario, nel caso il budget utilizzato sia superiore a quello assegnato secondo </w:t>
      </w:r>
      <w:r w:rsidR="00926946">
        <w:rPr>
          <w:rFonts w:ascii="Titillium" w:hAnsi="Titillium" w:cstheme="minorHAnsi"/>
          <w:sz w:val="20"/>
          <w:szCs w:val="20"/>
        </w:rPr>
        <w:t>il</w:t>
      </w:r>
      <w:r w:rsidRPr="001845CA">
        <w:rPr>
          <w:rFonts w:ascii="Titillium" w:hAnsi="Titillium" w:cstheme="minorHAnsi"/>
          <w:sz w:val="20"/>
          <w:szCs w:val="20"/>
        </w:rPr>
        <w:t xml:space="preserve"> Decreto di concessione, </w:t>
      </w:r>
      <w:r w:rsidR="00926946">
        <w:rPr>
          <w:rFonts w:ascii="Titillium" w:hAnsi="Titillium" w:cstheme="minorHAnsi"/>
          <w:sz w:val="20"/>
          <w:szCs w:val="20"/>
        </w:rPr>
        <w:t xml:space="preserve">il Beneficiario </w:t>
      </w:r>
      <w:r w:rsidRPr="001845CA">
        <w:rPr>
          <w:rFonts w:ascii="Titillium" w:hAnsi="Titillium" w:cstheme="minorHAnsi"/>
          <w:sz w:val="20"/>
          <w:szCs w:val="20"/>
        </w:rPr>
        <w:t xml:space="preserve">sarà finanziato solo in relazione a costi ammissibili, debitamente giustificati, fino a un importo non superiore a tale quota, fatte salve richieste di variazione concordate tra le Parti, al fine del raggiungimento degli obiettivi di </w:t>
      </w:r>
      <w:r w:rsidR="00555FCF">
        <w:rPr>
          <w:rFonts w:ascii="Titillium" w:hAnsi="Titillium" w:cstheme="minorHAnsi"/>
          <w:sz w:val="20"/>
          <w:szCs w:val="20"/>
        </w:rPr>
        <w:t>p</w:t>
      </w:r>
      <w:r w:rsidRPr="001845CA">
        <w:rPr>
          <w:rFonts w:ascii="Titillium" w:hAnsi="Titillium" w:cstheme="minorHAnsi"/>
          <w:sz w:val="20"/>
          <w:szCs w:val="20"/>
        </w:rPr>
        <w:t xml:space="preserve">rogetto, secondo quanto previsto dalle eventuali determine del Consiglio di Amministrazione </w:t>
      </w:r>
      <w:r w:rsidR="00926946">
        <w:rPr>
          <w:rFonts w:ascii="Titillium" w:hAnsi="Titillium" w:cstheme="minorHAnsi"/>
          <w:sz w:val="20"/>
          <w:szCs w:val="20"/>
        </w:rPr>
        <w:t xml:space="preserve">dello </w:t>
      </w:r>
      <w:proofErr w:type="spellStart"/>
      <w:r w:rsidR="00926946">
        <w:rPr>
          <w:rFonts w:ascii="Titillium" w:hAnsi="Titillium" w:cstheme="minorHAnsi"/>
          <w:sz w:val="20"/>
          <w:szCs w:val="20"/>
        </w:rPr>
        <w:t>Spoke</w:t>
      </w:r>
      <w:proofErr w:type="spellEnd"/>
      <w:r w:rsidRPr="001845CA">
        <w:rPr>
          <w:rFonts w:ascii="Titillium" w:hAnsi="Titillium" w:cstheme="minorHAnsi"/>
          <w:sz w:val="20"/>
          <w:szCs w:val="20"/>
        </w:rPr>
        <w:t>, fermo restando l’approvazione da parte del MUR. Resta inteso che i costi sostenuti da ciascuna Parte che non risultino coerenti con le norme di rendicontazione saranno a carico della Parte che li ha impropriamente sostenuti o non adeguatamente e/o correttamente rendicontati;</w:t>
      </w:r>
    </w:p>
    <w:p w14:paraId="19F5D274" w14:textId="34C54F80" w:rsidR="001845CA" w:rsidRPr="001845CA" w:rsidRDefault="001845CA" w:rsidP="00FE6FB9">
      <w:pPr>
        <w:pStyle w:val="Paragrafoelenco"/>
        <w:numPr>
          <w:ilvl w:val="0"/>
          <w:numId w:val="7"/>
        </w:numPr>
        <w:tabs>
          <w:tab w:val="left" w:pos="284"/>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ad essere responsabile nei confronti </w:t>
      </w:r>
      <w:r w:rsidR="00926946">
        <w:rPr>
          <w:rFonts w:ascii="Titillium" w:hAnsi="Titillium" w:cstheme="minorHAnsi"/>
          <w:sz w:val="20"/>
          <w:szCs w:val="20"/>
        </w:rPr>
        <w:t xml:space="preserve">dello </w:t>
      </w:r>
      <w:proofErr w:type="spellStart"/>
      <w:r w:rsidR="00926946">
        <w:rPr>
          <w:rFonts w:ascii="Titillium" w:hAnsi="Titillium" w:cstheme="minorHAnsi"/>
          <w:sz w:val="20"/>
          <w:szCs w:val="20"/>
        </w:rPr>
        <w:t>Spoke</w:t>
      </w:r>
      <w:proofErr w:type="spellEnd"/>
      <w:r w:rsidR="00F42CF4">
        <w:rPr>
          <w:rFonts w:ascii="Titillium" w:hAnsi="Titillium" w:cstheme="minorHAnsi"/>
          <w:sz w:val="20"/>
          <w:szCs w:val="20"/>
        </w:rPr>
        <w:t xml:space="preserve">, dell’Hub </w:t>
      </w:r>
      <w:r w:rsidRPr="001845CA">
        <w:rPr>
          <w:rFonts w:ascii="Titillium" w:hAnsi="Titillium" w:cstheme="minorHAnsi"/>
          <w:sz w:val="20"/>
          <w:szCs w:val="20"/>
        </w:rPr>
        <w:t xml:space="preserve">e del MUR delle risorse trasferite per la realizzazione delle attività previste dal </w:t>
      </w:r>
      <w:r w:rsidR="00555FCF">
        <w:rPr>
          <w:rFonts w:ascii="Titillium" w:hAnsi="Titillium" w:cstheme="minorHAnsi"/>
          <w:sz w:val="20"/>
          <w:szCs w:val="20"/>
        </w:rPr>
        <w:t>p</w:t>
      </w:r>
      <w:r w:rsidRPr="001845CA">
        <w:rPr>
          <w:rFonts w:ascii="Titillium" w:hAnsi="Titillium" w:cstheme="minorHAnsi"/>
          <w:sz w:val="20"/>
          <w:szCs w:val="20"/>
        </w:rPr>
        <w:t>rogetto. Per eventuali importi oggetto di recupero il MUR procederà in qualsiasi momento e con detrazione su altra erogazione o contributo da assegnare agli stessi anche in base ad altro titolo;</w:t>
      </w:r>
    </w:p>
    <w:p w14:paraId="069763F7" w14:textId="40E03926" w:rsidR="001845CA" w:rsidRPr="001845CA" w:rsidRDefault="001845CA" w:rsidP="00FE6FB9">
      <w:pPr>
        <w:pStyle w:val="Paragrafoelenco"/>
        <w:numPr>
          <w:ilvl w:val="0"/>
          <w:numId w:val="7"/>
        </w:numPr>
        <w:tabs>
          <w:tab w:val="left" w:pos="284"/>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ad acquisire, a favore </w:t>
      </w:r>
      <w:r w:rsidR="00926946">
        <w:rPr>
          <w:rFonts w:ascii="Titillium" w:hAnsi="Titillium" w:cstheme="minorHAnsi"/>
          <w:sz w:val="20"/>
          <w:szCs w:val="20"/>
        </w:rPr>
        <w:t xml:space="preserve">dello </w:t>
      </w:r>
      <w:proofErr w:type="spellStart"/>
      <w:r w:rsidR="00926946">
        <w:rPr>
          <w:rFonts w:ascii="Titillium" w:hAnsi="Titillium" w:cstheme="minorHAnsi"/>
          <w:sz w:val="20"/>
          <w:szCs w:val="20"/>
        </w:rPr>
        <w:t>Spoke</w:t>
      </w:r>
      <w:proofErr w:type="spellEnd"/>
      <w:r w:rsidRPr="001845CA">
        <w:rPr>
          <w:rFonts w:ascii="Titillium" w:hAnsi="Titillium" w:cstheme="minorHAnsi"/>
          <w:sz w:val="20"/>
          <w:szCs w:val="20"/>
        </w:rPr>
        <w:t xml:space="preserve">, al fine di ottemperare a tali impegni, analoghe garanzie fornite da una banca, o da qualunque altra istituzione finanziaria, o coperta da uno strumento fornito a garanzia dallo Stato membro, da un ente pubblico, da una banca o da qualunque altro istituto finanziario stabilito in uno Stato membro, da mantenere per tutta la durata del </w:t>
      </w:r>
      <w:r w:rsidR="00555FCF">
        <w:rPr>
          <w:rFonts w:ascii="Titillium" w:hAnsi="Titillium" w:cstheme="minorHAnsi"/>
          <w:sz w:val="20"/>
          <w:szCs w:val="20"/>
        </w:rPr>
        <w:t>p</w:t>
      </w:r>
      <w:r w:rsidRPr="001845CA">
        <w:rPr>
          <w:rFonts w:ascii="Titillium" w:hAnsi="Titillium" w:cstheme="minorHAnsi"/>
          <w:sz w:val="20"/>
          <w:szCs w:val="20"/>
        </w:rPr>
        <w:t>rogetto di ricerca del Partenariato Esteso o per diverso periodo concordato con il MUR;</w:t>
      </w:r>
    </w:p>
    <w:p w14:paraId="78E2BA91" w14:textId="7828BD2D"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partecipare alle riunioni convocate </w:t>
      </w:r>
      <w:r w:rsidR="00926946">
        <w:rPr>
          <w:rFonts w:ascii="Titillium" w:hAnsi="Titillium" w:cstheme="minorHAnsi"/>
          <w:sz w:val="20"/>
          <w:szCs w:val="20"/>
        </w:rPr>
        <w:t xml:space="preserve">dallo </w:t>
      </w:r>
      <w:proofErr w:type="spellStart"/>
      <w:r w:rsidR="00926946">
        <w:rPr>
          <w:rFonts w:ascii="Titillium" w:hAnsi="Titillium" w:cstheme="minorHAnsi"/>
          <w:sz w:val="20"/>
          <w:szCs w:val="20"/>
        </w:rPr>
        <w:t>Spoke</w:t>
      </w:r>
      <w:proofErr w:type="spellEnd"/>
      <w:r w:rsidRPr="001845CA">
        <w:rPr>
          <w:rFonts w:ascii="Titillium" w:hAnsi="Titillium" w:cstheme="minorHAnsi"/>
          <w:sz w:val="20"/>
          <w:szCs w:val="20"/>
        </w:rPr>
        <w:t xml:space="preserve"> e, ove richiesto, da</w:t>
      </w:r>
      <w:r w:rsidR="00926946">
        <w:rPr>
          <w:rFonts w:ascii="Titillium" w:hAnsi="Titillium" w:cstheme="minorHAnsi"/>
          <w:sz w:val="20"/>
          <w:szCs w:val="20"/>
        </w:rPr>
        <w:t xml:space="preserve">ll’Hub e dal </w:t>
      </w:r>
      <w:r w:rsidRPr="001845CA">
        <w:rPr>
          <w:rFonts w:ascii="Titillium" w:hAnsi="Titillium" w:cstheme="minorHAnsi"/>
          <w:sz w:val="20"/>
          <w:szCs w:val="20"/>
        </w:rPr>
        <w:t>MUR;</w:t>
      </w:r>
    </w:p>
    <w:p w14:paraId="2D1C4397" w14:textId="06F2DA9E"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collaborare con </w:t>
      </w:r>
      <w:r w:rsidR="00926946">
        <w:rPr>
          <w:rFonts w:ascii="Titillium" w:hAnsi="Titillium" w:cstheme="minorHAnsi"/>
          <w:sz w:val="20"/>
          <w:szCs w:val="20"/>
        </w:rPr>
        <w:t xml:space="preserve">lo </w:t>
      </w:r>
      <w:proofErr w:type="spellStart"/>
      <w:r w:rsidR="00926946">
        <w:rPr>
          <w:rFonts w:ascii="Titillium" w:hAnsi="Titillium" w:cstheme="minorHAnsi"/>
          <w:sz w:val="20"/>
          <w:szCs w:val="20"/>
        </w:rPr>
        <w:t>Spoke</w:t>
      </w:r>
      <w:proofErr w:type="spellEnd"/>
      <w:r w:rsidR="00926946">
        <w:rPr>
          <w:rFonts w:ascii="Titillium" w:hAnsi="Titillium" w:cstheme="minorHAnsi"/>
          <w:sz w:val="20"/>
          <w:szCs w:val="20"/>
        </w:rPr>
        <w:t xml:space="preserve"> </w:t>
      </w:r>
      <w:r w:rsidRPr="001845CA">
        <w:rPr>
          <w:rFonts w:ascii="Titillium" w:hAnsi="Titillium" w:cstheme="minorHAnsi"/>
          <w:sz w:val="20"/>
          <w:szCs w:val="20"/>
        </w:rPr>
        <w:t>per fornire al MUR tutte le informazioni necessarie, relative alle linee di attività per l’elaborazione delle relazioni annuali di cui all’articolo 31 del Regolamento (UE) n. 2021/241, nonché qualsiasi altra informazione eventualmente richiesta;</w:t>
      </w:r>
    </w:p>
    <w:p w14:paraId="3059B586" w14:textId="0832783A"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collaborare con l</w:t>
      </w:r>
      <w:r w:rsidR="00926946">
        <w:rPr>
          <w:rFonts w:ascii="Titillium" w:hAnsi="Titillium" w:cstheme="minorHAnsi"/>
          <w:sz w:val="20"/>
          <w:szCs w:val="20"/>
        </w:rPr>
        <w:t xml:space="preserve">o </w:t>
      </w:r>
      <w:proofErr w:type="spellStart"/>
      <w:r w:rsidR="00926946">
        <w:rPr>
          <w:rFonts w:ascii="Titillium" w:hAnsi="Titillium" w:cstheme="minorHAnsi"/>
          <w:sz w:val="20"/>
          <w:szCs w:val="20"/>
        </w:rPr>
        <w:t>Spoke</w:t>
      </w:r>
      <w:proofErr w:type="spellEnd"/>
      <w:r w:rsidR="00926946">
        <w:rPr>
          <w:rFonts w:ascii="Titillium" w:hAnsi="Titillium" w:cstheme="minorHAnsi"/>
          <w:sz w:val="20"/>
          <w:szCs w:val="20"/>
        </w:rPr>
        <w:t xml:space="preserve"> </w:t>
      </w:r>
      <w:r w:rsidR="004509BD">
        <w:rPr>
          <w:rFonts w:ascii="Titillium" w:hAnsi="Titillium" w:cstheme="minorHAnsi"/>
          <w:sz w:val="20"/>
          <w:szCs w:val="20"/>
        </w:rPr>
        <w:t xml:space="preserve">per il </w:t>
      </w:r>
      <w:r w:rsidRPr="001845CA">
        <w:rPr>
          <w:rFonts w:ascii="Titillium" w:hAnsi="Titillium" w:cstheme="minorHAnsi"/>
          <w:sz w:val="20"/>
          <w:szCs w:val="20"/>
        </w:rPr>
        <w:t>raggiungimento di milestone e target associati alla Misura e a fornire, su richiesta del</w:t>
      </w:r>
      <w:r w:rsidR="009819BA">
        <w:rPr>
          <w:rFonts w:ascii="Titillium" w:hAnsi="Titillium" w:cstheme="minorHAnsi"/>
          <w:sz w:val="20"/>
          <w:szCs w:val="20"/>
        </w:rPr>
        <w:t xml:space="preserve">l’Hub e/o del </w:t>
      </w:r>
      <w:r w:rsidRPr="001845CA">
        <w:rPr>
          <w:rFonts w:ascii="Titillium" w:hAnsi="Titillium" w:cstheme="minorHAnsi"/>
          <w:sz w:val="20"/>
          <w:szCs w:val="20"/>
        </w:rPr>
        <w:t>MUR, le informazioni necessarie per la predisposizione delle dichiarazioni sul conseguimento di target e milestone e delle relazioni e documenti sull’attuazione dei progetti;</w:t>
      </w:r>
    </w:p>
    <w:p w14:paraId="7C959BF6" w14:textId="22129F08"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ad informare </w:t>
      </w:r>
      <w:r w:rsidR="004509BD">
        <w:rPr>
          <w:rFonts w:ascii="Titillium" w:hAnsi="Titillium" w:cstheme="minorHAnsi"/>
          <w:sz w:val="20"/>
          <w:szCs w:val="20"/>
        </w:rPr>
        <w:t xml:space="preserve">lo </w:t>
      </w:r>
      <w:proofErr w:type="spellStart"/>
      <w:r w:rsidR="004509BD">
        <w:rPr>
          <w:rFonts w:ascii="Titillium" w:hAnsi="Titillium" w:cstheme="minorHAnsi"/>
          <w:sz w:val="20"/>
          <w:szCs w:val="20"/>
        </w:rPr>
        <w:t>Spoke</w:t>
      </w:r>
      <w:proofErr w:type="spellEnd"/>
      <w:r w:rsidR="004509BD">
        <w:rPr>
          <w:rFonts w:ascii="Titillium" w:hAnsi="Titillium" w:cstheme="minorHAnsi"/>
          <w:sz w:val="20"/>
          <w:szCs w:val="20"/>
        </w:rPr>
        <w:t xml:space="preserve"> s</w:t>
      </w:r>
      <w:r w:rsidRPr="001845CA">
        <w:rPr>
          <w:rFonts w:ascii="Titillium" w:hAnsi="Titillium" w:cstheme="minorHAnsi"/>
          <w:sz w:val="20"/>
          <w:szCs w:val="20"/>
        </w:rPr>
        <w:t>u ogni circostanza che possa determinare ritardi che incidano in maniera considerevole sulla tempistica attuativa e di spesa definita dagli allegati al decreto di concessione, affinché l</w:t>
      </w:r>
      <w:r w:rsidR="004509BD">
        <w:rPr>
          <w:rFonts w:ascii="Titillium" w:hAnsi="Titillium" w:cstheme="minorHAnsi"/>
          <w:sz w:val="20"/>
          <w:szCs w:val="20"/>
        </w:rPr>
        <w:t xml:space="preserve">o </w:t>
      </w:r>
      <w:proofErr w:type="spellStart"/>
      <w:r w:rsidR="004509BD">
        <w:rPr>
          <w:rFonts w:ascii="Titillium" w:hAnsi="Titillium" w:cstheme="minorHAnsi"/>
          <w:sz w:val="20"/>
          <w:szCs w:val="20"/>
        </w:rPr>
        <w:t>Spoke</w:t>
      </w:r>
      <w:proofErr w:type="spellEnd"/>
      <w:r w:rsidR="004509BD">
        <w:rPr>
          <w:rFonts w:ascii="Titillium" w:hAnsi="Titillium" w:cstheme="minorHAnsi"/>
          <w:sz w:val="20"/>
          <w:szCs w:val="20"/>
        </w:rPr>
        <w:t xml:space="preserve"> p</w:t>
      </w:r>
      <w:r w:rsidRPr="001845CA">
        <w:rPr>
          <w:rFonts w:ascii="Titillium" w:hAnsi="Titillium" w:cstheme="minorHAnsi"/>
          <w:sz w:val="20"/>
          <w:szCs w:val="20"/>
        </w:rPr>
        <w:t>ossa relazionare al</w:t>
      </w:r>
      <w:r w:rsidR="00F42CF4">
        <w:rPr>
          <w:rFonts w:ascii="Titillium" w:hAnsi="Titillium" w:cstheme="minorHAnsi"/>
          <w:sz w:val="20"/>
          <w:szCs w:val="20"/>
        </w:rPr>
        <w:t xml:space="preserve">l’Hub e/o al </w:t>
      </w:r>
      <w:r w:rsidRPr="001845CA">
        <w:rPr>
          <w:rFonts w:ascii="Titillium" w:hAnsi="Titillium" w:cstheme="minorHAnsi"/>
          <w:sz w:val="20"/>
          <w:szCs w:val="20"/>
        </w:rPr>
        <w:t>MUR;</w:t>
      </w:r>
    </w:p>
    <w:p w14:paraId="128D14BF"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gestire i rischi connessi alle attività progettuali di propria competenza;</w:t>
      </w:r>
    </w:p>
    <w:p w14:paraId="496197E9" w14:textId="248CE96E"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a garantire il rispetto degli obblighi in materia di comunicazione e informazione previsti dall’articolo 34 del Regolamento (UE) 2021/241 indicando nella documentazione progettuale che il progetto è finanziato nell’ambito del PNRR, con esplicito riferimento al finanziamento da parte dell’Unione europea e all’iniziativa </w:t>
      </w:r>
      <w:proofErr w:type="spellStart"/>
      <w:r w:rsidRPr="001845CA">
        <w:rPr>
          <w:rFonts w:ascii="Titillium" w:hAnsi="Titillium" w:cstheme="minorHAnsi"/>
          <w:sz w:val="20"/>
          <w:szCs w:val="20"/>
        </w:rPr>
        <w:t>NextGenerationEU</w:t>
      </w:r>
      <w:proofErr w:type="spellEnd"/>
      <w:r w:rsidRPr="001845CA">
        <w:rPr>
          <w:rFonts w:ascii="Titillium" w:hAnsi="Titillium" w:cstheme="minorHAnsi"/>
          <w:sz w:val="20"/>
          <w:szCs w:val="20"/>
        </w:rPr>
        <w:t xml:space="preserve"> (ad es. utilizzando la frase “finanziato dall’Unione europea – </w:t>
      </w:r>
      <w:proofErr w:type="spellStart"/>
      <w:r w:rsidRPr="001845CA">
        <w:rPr>
          <w:rFonts w:ascii="Titillium" w:hAnsi="Titillium" w:cstheme="minorHAnsi"/>
          <w:sz w:val="20"/>
          <w:szCs w:val="20"/>
        </w:rPr>
        <w:t>NextGenerationEU</w:t>
      </w:r>
      <w:proofErr w:type="spellEnd"/>
      <w:r w:rsidRPr="001845CA">
        <w:rPr>
          <w:rFonts w:ascii="Titillium" w:hAnsi="Titillium" w:cstheme="minorHAnsi"/>
          <w:sz w:val="20"/>
          <w:szCs w:val="20"/>
        </w:rPr>
        <w:t xml:space="preserve">”), riportando nella documentazione progettuale l’emblema dell’Unione europea e fornire un’adeguata diffusione e promozione del progetto, anche online, sia web che social. In particolare, </w:t>
      </w:r>
      <w:r w:rsidR="004509BD">
        <w:rPr>
          <w:rFonts w:ascii="Titillium" w:hAnsi="Titillium" w:cstheme="minorHAnsi"/>
          <w:sz w:val="20"/>
          <w:szCs w:val="20"/>
        </w:rPr>
        <w:t>il Beneficiario s</w:t>
      </w:r>
      <w:r w:rsidRPr="001845CA">
        <w:rPr>
          <w:rFonts w:ascii="Titillium" w:hAnsi="Titillium" w:cstheme="minorHAnsi"/>
          <w:sz w:val="20"/>
          <w:szCs w:val="20"/>
        </w:rPr>
        <w:t xml:space="preserve">i obbliga, con riferimento alle attività progettuali di propria competenza: </w:t>
      </w:r>
    </w:p>
    <w:p w14:paraId="400DAC26" w14:textId="77777777" w:rsidR="001845CA" w:rsidRPr="001845CA" w:rsidRDefault="001845CA" w:rsidP="00FE6FB9">
      <w:pPr>
        <w:pStyle w:val="Paragrafoelenco"/>
        <w:numPr>
          <w:ilvl w:val="0"/>
          <w:numId w:val="9"/>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ad assicurare la visibilità del finanziamento dell’Unione (inserimento di specifico riferimento al fatto che l’Avviso è finanziato dal PNRR, compreso il riferimento alla Missione Componente ed investimento o sotto-investimento);</w:t>
      </w:r>
    </w:p>
    <w:p w14:paraId="6791F3DC" w14:textId="77777777" w:rsidR="001845CA" w:rsidRPr="001845CA" w:rsidRDefault="001845CA" w:rsidP="00FE6FB9">
      <w:pPr>
        <w:pStyle w:val="Paragrafoelenco"/>
        <w:numPr>
          <w:ilvl w:val="0"/>
          <w:numId w:val="9"/>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quando viene mostrato in associazione con un altro logo, a mostrare l’emblema dell’Unione europea almeno con lo stesso risalto e visibilità degli altri loghi. L’emblema deve rimanere distinto e separato e non può essere modificato con l’aggiunta di altri segni visivi, marchi o testi. Oltre all’emblema, nessun’altra identità visiva o logo può essere utilizzata per evidenziare il sostegno dell’UE;</w:t>
      </w:r>
    </w:p>
    <w:p w14:paraId="654538C1" w14:textId="77777777" w:rsidR="001845CA" w:rsidRPr="001845CA" w:rsidRDefault="001845CA" w:rsidP="00FE6FB9">
      <w:pPr>
        <w:pStyle w:val="Paragrafoelenco"/>
        <w:numPr>
          <w:ilvl w:val="0"/>
          <w:numId w:val="9"/>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 xml:space="preserve">ad utilizzare, per i documenti prodotti nell’ambito del progetto finanziato, il seguente disclaimer: “Finanziato dall'Unione europea - </w:t>
      </w:r>
      <w:proofErr w:type="spellStart"/>
      <w:r w:rsidRPr="001845CA">
        <w:rPr>
          <w:rFonts w:ascii="Titillium" w:hAnsi="Titillium" w:cstheme="minorHAnsi"/>
          <w:sz w:val="20"/>
          <w:szCs w:val="20"/>
        </w:rPr>
        <w:t>NextGenerationEU</w:t>
      </w:r>
      <w:proofErr w:type="spellEnd"/>
      <w:r w:rsidRPr="001845CA">
        <w:rPr>
          <w:rFonts w:ascii="Titillium" w:hAnsi="Titillium" w:cstheme="minorHAnsi"/>
          <w:sz w:val="20"/>
          <w:szCs w:val="20"/>
        </w:rPr>
        <w:t>. I punti di vista e le opinioni espresse sono tuttavia solo quelli degli autori e non riflettono necessariamente quelli dell'Unione europea o della Commissione europea. Né l'Unione europea né la Commissione europea possono essere ritenute responsabili per essi”;</w:t>
      </w:r>
    </w:p>
    <w:p w14:paraId="2B9F2B4B" w14:textId="77777777" w:rsidR="001845CA" w:rsidRPr="001845CA" w:rsidRDefault="001845CA" w:rsidP="00FE6FB9">
      <w:pPr>
        <w:pStyle w:val="Paragrafoelenco"/>
        <w:numPr>
          <w:ilvl w:val="0"/>
          <w:numId w:val="9"/>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 garantire, altresì, il rispetto degli obblighi in materia di comunicazione e informazione in linea con quanto previsto dalle indicazioni fornite dal MUR, documento con protocollo n.7753 del 10 ottobre 2022 denominato “</w:t>
      </w:r>
      <w:r w:rsidRPr="001845CA">
        <w:rPr>
          <w:rFonts w:ascii="Titillium" w:hAnsi="Titillium"/>
          <w:sz w:val="20"/>
          <w:szCs w:val="20"/>
        </w:rPr>
        <w:t>LINEE GUIDA PER LE AZIONI DI INFORMAZIONE E COMUNICAZIONE A CURA DEI SOGGETTI ATTUATORI” ed ogni relativo aggiornamento futuro</w:t>
      </w:r>
      <w:r w:rsidRPr="001845CA">
        <w:rPr>
          <w:rFonts w:ascii="Titillium" w:hAnsi="Titillium" w:cstheme="minorHAnsi"/>
          <w:sz w:val="20"/>
          <w:szCs w:val="20"/>
        </w:rPr>
        <w:t>;</w:t>
      </w:r>
    </w:p>
    <w:p w14:paraId="144C944C"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favorire la valorizzazione dei risultati della ricerca e garantire la tutela della proprietà intellettuale,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principi “Open science” e “FAIR Data”, nel rispetto delle Linee Guida predisposte dall’Hub;</w:t>
      </w:r>
    </w:p>
    <w:p w14:paraId="58E1D5FD"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lastRenderedPageBreak/>
        <w:t>a tracciare adeguatamente l'Imposta sul Valore Aggiunto (IVA) e a darne evidenza analitica attraverso un sistema di contabilità separata;</w:t>
      </w:r>
    </w:p>
    <w:p w14:paraId="6ADB3575"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 xml:space="preserve"> a rispettare i vincoli previsti dall’art. 7, comma 2, dell’Avviso relativi alla disparità territoriale, disparità di genere e ai campi di intervento di cui all’art. 3 dell’Avviso;</w:t>
      </w:r>
    </w:p>
    <w:p w14:paraId="769EAE94"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rispettare, sin da ora, tutti gli obblighi afferenti alle modalità di rendicontazione, le attività di monitoraggio, controllo, informazione e pubblicità che saranno definite dal Ministero con successiva manualistica;</w:t>
      </w:r>
    </w:p>
    <w:p w14:paraId="409C6551" w14:textId="77777777" w:rsidR="001845CA" w:rsidRPr="001845CA" w:rsidRDefault="001845CA" w:rsidP="00FE6FB9">
      <w:pPr>
        <w:pStyle w:val="Paragrafoelenco"/>
        <w:numPr>
          <w:ilvl w:val="0"/>
          <w:numId w:val="7"/>
        </w:numPr>
        <w:tabs>
          <w:tab w:val="left" w:pos="0"/>
        </w:tabs>
        <w:spacing w:before="240" w:after="160"/>
        <w:ind w:left="-180" w:hanging="491"/>
        <w:jc w:val="both"/>
        <w:rPr>
          <w:rFonts w:ascii="Titillium" w:hAnsi="Titillium" w:cstheme="minorHAnsi"/>
          <w:sz w:val="20"/>
          <w:szCs w:val="20"/>
        </w:rPr>
      </w:pPr>
      <w:r w:rsidRPr="001845CA">
        <w:rPr>
          <w:rFonts w:ascii="Titillium" w:hAnsi="Titillium" w:cstheme="minorHAnsi"/>
          <w:sz w:val="20"/>
          <w:szCs w:val="20"/>
        </w:rPr>
        <w:t>a garantire il rispetto di eventuali previsioni normative, orientamenti o istruzioni tecniche che potranno essere emanate dal MUR, dal Ministero dell’Economia e delle Finanze, dalla Commissione Europea ovvero da altri soggetti coinvolti nell’attuazione del PNRR, anche successivamente alla pubblicazione dell’Avviso.</w:t>
      </w:r>
    </w:p>
    <w:p w14:paraId="4AE7B083" w14:textId="6ADEDAF4" w:rsidR="001845CA" w:rsidRPr="001845CA" w:rsidRDefault="00363464" w:rsidP="00A77813">
      <w:pPr>
        <w:tabs>
          <w:tab w:val="left" w:pos="0"/>
        </w:tabs>
        <w:spacing w:before="240"/>
        <w:ind w:left="-180"/>
        <w:jc w:val="both"/>
        <w:rPr>
          <w:rFonts w:ascii="Titillium" w:hAnsi="Titillium" w:cstheme="minorHAnsi"/>
          <w:sz w:val="20"/>
          <w:szCs w:val="20"/>
        </w:rPr>
      </w:pPr>
      <w:r>
        <w:rPr>
          <w:rFonts w:ascii="Titillium" w:hAnsi="Titillium" w:cstheme="minorHAnsi"/>
          <w:sz w:val="20"/>
          <w:szCs w:val="20"/>
        </w:rPr>
        <w:t xml:space="preserve">Ogni Beneficiario </w:t>
      </w:r>
      <w:r w:rsidR="001845CA" w:rsidRPr="001845CA">
        <w:rPr>
          <w:rFonts w:ascii="Titillium" w:hAnsi="Titillium" w:cstheme="minorHAnsi"/>
          <w:sz w:val="20"/>
          <w:szCs w:val="20"/>
        </w:rPr>
        <w:t xml:space="preserve">si obbliga altresì: </w:t>
      </w:r>
    </w:p>
    <w:p w14:paraId="356B747F" w14:textId="33AA3309" w:rsidR="001845CA" w:rsidRPr="001845CA" w:rsidRDefault="001845CA" w:rsidP="00FE6FB9">
      <w:pPr>
        <w:pStyle w:val="Paragrafoelenco"/>
        <w:numPr>
          <w:ilvl w:val="0"/>
          <w:numId w:val="12"/>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a rispettare le previsioni di cui al</w:t>
      </w:r>
      <w:r w:rsidR="00B638E0">
        <w:rPr>
          <w:rFonts w:ascii="Titillium" w:hAnsi="Titillium" w:cstheme="minorHAnsi"/>
          <w:sz w:val="20"/>
          <w:szCs w:val="20"/>
        </w:rPr>
        <w:t xml:space="preserve">l’Avviso </w:t>
      </w:r>
      <w:r w:rsidR="00B638E0" w:rsidRPr="00B638E0">
        <w:rPr>
          <w:rFonts w:ascii="Titillium" w:hAnsi="Titillium" w:cstheme="minorHAnsi"/>
          <w:sz w:val="20"/>
          <w:szCs w:val="20"/>
          <w:highlight w:val="green"/>
        </w:rPr>
        <w:t>(inserire riferimento al bando a cascata)</w:t>
      </w:r>
      <w:r w:rsidR="00E5492A">
        <w:rPr>
          <w:rFonts w:ascii="Titillium" w:hAnsi="Titillium"/>
          <w:sz w:val="20"/>
          <w:szCs w:val="20"/>
        </w:rPr>
        <w:t xml:space="preserve">, </w:t>
      </w:r>
      <w:r w:rsidRPr="001845CA">
        <w:rPr>
          <w:rFonts w:ascii="Titillium" w:hAnsi="Titillium"/>
          <w:sz w:val="20"/>
          <w:szCs w:val="20"/>
        </w:rPr>
        <w:t>nel rispetto delle disposizioni sugli aiuti di Stato, sui concorsi e sui contratti pubblici, nonché delle altre norme comunitarie e nazionali applicabili;</w:t>
      </w:r>
    </w:p>
    <w:p w14:paraId="0F2B1421" w14:textId="77777777" w:rsidR="00555FCF" w:rsidRPr="00555FCF" w:rsidRDefault="001845CA" w:rsidP="00555FCF">
      <w:pPr>
        <w:pStyle w:val="Paragrafoelenco"/>
        <w:numPr>
          <w:ilvl w:val="0"/>
          <w:numId w:val="12"/>
        </w:numPr>
        <w:tabs>
          <w:tab w:val="left" w:pos="0"/>
        </w:tabs>
        <w:spacing w:before="240" w:after="160"/>
        <w:ind w:left="-180"/>
        <w:jc w:val="both"/>
        <w:rPr>
          <w:rFonts w:ascii="Titillium" w:hAnsi="Titillium" w:cstheme="minorHAnsi"/>
          <w:sz w:val="20"/>
          <w:szCs w:val="20"/>
        </w:rPr>
      </w:pPr>
      <w:r w:rsidRPr="001845CA">
        <w:rPr>
          <w:rFonts w:ascii="Titillium" w:hAnsi="Titillium"/>
          <w:sz w:val="20"/>
          <w:szCs w:val="20"/>
        </w:rPr>
        <w:t>a raccogliere, verificare e rendicontare all</w:t>
      </w:r>
      <w:r w:rsidR="00E5492A">
        <w:rPr>
          <w:rFonts w:ascii="Titillium" w:hAnsi="Titillium"/>
          <w:sz w:val="20"/>
          <w:szCs w:val="20"/>
        </w:rPr>
        <w:t xml:space="preserve">o </w:t>
      </w:r>
      <w:proofErr w:type="spellStart"/>
      <w:r w:rsidR="00E5492A">
        <w:rPr>
          <w:rFonts w:ascii="Titillium" w:hAnsi="Titillium"/>
          <w:sz w:val="20"/>
          <w:szCs w:val="20"/>
        </w:rPr>
        <w:t>Spoke</w:t>
      </w:r>
      <w:proofErr w:type="spellEnd"/>
      <w:r w:rsidR="00E5492A">
        <w:rPr>
          <w:rFonts w:ascii="Titillium" w:hAnsi="Titillium"/>
          <w:sz w:val="20"/>
          <w:szCs w:val="20"/>
        </w:rPr>
        <w:t xml:space="preserve"> </w:t>
      </w:r>
      <w:r w:rsidRPr="001845CA">
        <w:rPr>
          <w:rFonts w:ascii="Titillium" w:hAnsi="Titillium"/>
          <w:sz w:val="20"/>
          <w:szCs w:val="20"/>
        </w:rPr>
        <w:t xml:space="preserve">le spese sostenute, </w:t>
      </w:r>
      <w:r w:rsidRPr="001845CA">
        <w:rPr>
          <w:rFonts w:ascii="Titillium" w:hAnsi="Titillium" w:cstheme="minorHAnsi"/>
          <w:sz w:val="20"/>
          <w:szCs w:val="20"/>
        </w:rPr>
        <w:t>secondo le procedure indicate dal MUR mediante le piattaforme messe a disposizione</w:t>
      </w:r>
      <w:r w:rsidR="004509BD">
        <w:rPr>
          <w:rFonts w:ascii="Titillium" w:hAnsi="Titillium"/>
          <w:sz w:val="20"/>
          <w:szCs w:val="20"/>
        </w:rPr>
        <w:t>.</w:t>
      </w:r>
    </w:p>
    <w:p w14:paraId="1236AD0F" w14:textId="092497AB" w:rsidR="001845CA" w:rsidRPr="001845CA" w:rsidRDefault="001845CA" w:rsidP="00A77813">
      <w:pPr>
        <w:pStyle w:val="Titolo1"/>
        <w:spacing w:line="240" w:lineRule="auto"/>
        <w:ind w:left="-180"/>
        <w:rPr>
          <w:rFonts w:ascii="Titillium" w:hAnsi="Titillium"/>
          <w:sz w:val="20"/>
          <w:szCs w:val="20"/>
        </w:rPr>
      </w:pPr>
      <w:bookmarkStart w:id="5" w:name="_Ref112322270"/>
      <w:r w:rsidRPr="001845CA">
        <w:rPr>
          <w:rFonts w:ascii="Titillium" w:hAnsi="Titillium"/>
          <w:sz w:val="20"/>
          <w:szCs w:val="20"/>
        </w:rPr>
        <w:t>Art. 1</w:t>
      </w:r>
      <w:r w:rsidR="000C42A2">
        <w:rPr>
          <w:rFonts w:ascii="Titillium" w:hAnsi="Titillium"/>
          <w:sz w:val="20"/>
          <w:szCs w:val="20"/>
        </w:rPr>
        <w:t>1</w:t>
      </w:r>
      <w:r w:rsidRPr="001845CA">
        <w:rPr>
          <w:rFonts w:ascii="Titillium" w:hAnsi="Titillium"/>
          <w:sz w:val="20"/>
          <w:szCs w:val="20"/>
        </w:rPr>
        <w:t xml:space="preserve"> - Procedura di rendicontazione della spesa</w:t>
      </w:r>
      <w:bookmarkEnd w:id="5"/>
    </w:p>
    <w:p w14:paraId="5699DC1C" w14:textId="7331098F"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Al fine di consentire </w:t>
      </w:r>
      <w:r w:rsidR="00B638E0">
        <w:rPr>
          <w:rFonts w:ascii="Titillium" w:hAnsi="Titillium" w:cstheme="minorHAnsi"/>
          <w:sz w:val="20"/>
          <w:szCs w:val="20"/>
        </w:rPr>
        <w:t xml:space="preserve">allo </w:t>
      </w:r>
      <w:proofErr w:type="spellStart"/>
      <w:r w:rsidR="00B638E0">
        <w:rPr>
          <w:rFonts w:ascii="Titillium" w:hAnsi="Titillium" w:cstheme="minorHAnsi"/>
          <w:sz w:val="20"/>
          <w:szCs w:val="20"/>
        </w:rPr>
        <w:t>Spoke</w:t>
      </w:r>
      <w:proofErr w:type="spellEnd"/>
      <w:r w:rsidRPr="001845CA">
        <w:rPr>
          <w:rFonts w:ascii="Titillium" w:hAnsi="Titillium" w:cstheme="minorHAnsi"/>
          <w:sz w:val="20"/>
          <w:szCs w:val="20"/>
        </w:rPr>
        <w:t xml:space="preserve"> la rendicontazione del finanziamento nel rispetto della procedura di rendicontazione delle agevolazioni prevista nel Decreto Ministeriale n. 1314 del 14 dicembre 2021 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 xml:space="preserve">. e in base al Piano </w:t>
      </w:r>
      <w:r w:rsidR="00B638E0">
        <w:rPr>
          <w:rFonts w:ascii="Titillium" w:hAnsi="Titillium" w:cstheme="minorHAnsi"/>
          <w:sz w:val="20"/>
          <w:szCs w:val="20"/>
        </w:rPr>
        <w:t xml:space="preserve">economico-finanziario </w:t>
      </w:r>
      <w:r w:rsidRPr="001845CA">
        <w:rPr>
          <w:rFonts w:ascii="Titillium" w:hAnsi="Titillium" w:cstheme="minorHAnsi"/>
          <w:sz w:val="20"/>
          <w:szCs w:val="20"/>
        </w:rPr>
        <w:t xml:space="preserve">di cui all’Allegato </w:t>
      </w:r>
      <w:r w:rsidR="00B638E0" w:rsidRPr="00B638E0">
        <w:rPr>
          <w:rFonts w:ascii="Titillium" w:hAnsi="Titillium" w:cstheme="minorHAnsi"/>
          <w:sz w:val="20"/>
          <w:szCs w:val="20"/>
          <w:highlight w:val="green"/>
        </w:rPr>
        <w:t>…</w:t>
      </w:r>
      <w:r w:rsidR="00B638E0">
        <w:rPr>
          <w:rFonts w:ascii="Titillium" w:hAnsi="Titillium" w:cstheme="minorHAnsi"/>
          <w:sz w:val="20"/>
          <w:szCs w:val="20"/>
        </w:rPr>
        <w:t xml:space="preserve"> </w:t>
      </w:r>
      <w:r w:rsidRPr="001845CA">
        <w:rPr>
          <w:rFonts w:ascii="Titillium" w:hAnsi="Titillium" w:cstheme="minorHAnsi"/>
          <w:sz w:val="20"/>
          <w:szCs w:val="20"/>
        </w:rPr>
        <w:t xml:space="preserve">e al Cronoprogramma </w:t>
      </w:r>
      <w:r w:rsidR="00B638E0">
        <w:rPr>
          <w:rFonts w:ascii="Titillium" w:hAnsi="Titillium" w:cstheme="minorHAnsi"/>
          <w:sz w:val="20"/>
          <w:szCs w:val="20"/>
        </w:rPr>
        <w:t xml:space="preserve">di cui all’Allegato </w:t>
      </w:r>
      <w:r w:rsidR="00B638E0" w:rsidRPr="00B638E0">
        <w:rPr>
          <w:rFonts w:ascii="Titillium" w:hAnsi="Titillium" w:cstheme="minorHAnsi"/>
          <w:sz w:val="20"/>
          <w:szCs w:val="20"/>
          <w:highlight w:val="green"/>
        </w:rPr>
        <w:t>….</w:t>
      </w:r>
      <w:r w:rsidRPr="001845CA">
        <w:rPr>
          <w:rFonts w:ascii="Titillium" w:hAnsi="Titillium" w:cstheme="minorHAnsi"/>
          <w:sz w:val="20"/>
          <w:szCs w:val="20"/>
        </w:rPr>
        <w:t xml:space="preserve"> del Decreto di Concessione del Finanziamento, </w:t>
      </w:r>
      <w:r w:rsidR="00B638E0">
        <w:rPr>
          <w:rFonts w:ascii="Titillium" w:hAnsi="Titillium" w:cstheme="minorHAnsi"/>
          <w:sz w:val="20"/>
          <w:szCs w:val="20"/>
        </w:rPr>
        <w:t xml:space="preserve">i Beneficiari </w:t>
      </w:r>
      <w:r w:rsidRPr="001845CA">
        <w:rPr>
          <w:rFonts w:ascii="Titillium" w:hAnsi="Titillium" w:cstheme="minorHAnsi"/>
          <w:sz w:val="20"/>
          <w:szCs w:val="20"/>
        </w:rPr>
        <w:t>trasmett</w:t>
      </w:r>
      <w:r w:rsidR="00B638E0">
        <w:rPr>
          <w:rFonts w:ascii="Titillium" w:hAnsi="Titillium" w:cstheme="minorHAnsi"/>
          <w:sz w:val="20"/>
          <w:szCs w:val="20"/>
        </w:rPr>
        <w:t>ono</w:t>
      </w:r>
      <w:r w:rsidRPr="001845CA">
        <w:rPr>
          <w:rFonts w:ascii="Titillium" w:hAnsi="Titillium" w:cstheme="minorHAnsi"/>
          <w:sz w:val="20"/>
          <w:szCs w:val="20"/>
        </w:rPr>
        <w:t xml:space="preserve">, </w:t>
      </w:r>
      <w:r w:rsidRPr="001845CA">
        <w:rPr>
          <w:rFonts w:ascii="Titillium" w:hAnsi="Titillium" w:cstheme="minorHAnsi"/>
          <w:i/>
          <w:iCs/>
          <w:sz w:val="20"/>
          <w:szCs w:val="20"/>
        </w:rPr>
        <w:t>secondo le modalità e la modulistica indicata dal MUR e mediante l'utilizzo del sistema informatico da questo adottato</w:t>
      </w:r>
      <w:r w:rsidRPr="001845CA">
        <w:rPr>
          <w:rFonts w:ascii="Titillium" w:hAnsi="Titillium" w:cstheme="minorHAnsi"/>
          <w:sz w:val="20"/>
          <w:szCs w:val="20"/>
        </w:rPr>
        <w:t>:</w:t>
      </w:r>
    </w:p>
    <w:p w14:paraId="679DF8D5" w14:textId="77777777" w:rsidR="001845CA" w:rsidRPr="001845CA" w:rsidRDefault="001845CA" w:rsidP="00FE6FB9">
      <w:pPr>
        <w:pStyle w:val="Paragrafoelenco"/>
        <w:numPr>
          <w:ilvl w:val="0"/>
          <w:numId w:val="2"/>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la documentazione attestante le attività progettuali svolte, con particolare riferimento al conseguimento di milestone e target, intermedi e finali, previste dal progetto approvato;</w:t>
      </w:r>
    </w:p>
    <w:p w14:paraId="325FFB57" w14:textId="77777777" w:rsidR="001845CA" w:rsidRPr="001845CA" w:rsidRDefault="001845CA" w:rsidP="00FE6FB9">
      <w:pPr>
        <w:pStyle w:val="Paragrafoelenco"/>
        <w:numPr>
          <w:ilvl w:val="0"/>
          <w:numId w:val="2"/>
        </w:numPr>
        <w:tabs>
          <w:tab w:val="left" w:pos="0"/>
        </w:tabs>
        <w:spacing w:before="240" w:after="160"/>
        <w:ind w:left="-180"/>
        <w:jc w:val="both"/>
        <w:rPr>
          <w:rFonts w:ascii="Titillium" w:hAnsi="Titillium" w:cstheme="minorHAnsi"/>
          <w:sz w:val="20"/>
          <w:szCs w:val="20"/>
        </w:rPr>
      </w:pPr>
      <w:r w:rsidRPr="001845CA">
        <w:rPr>
          <w:rFonts w:ascii="Titillium" w:hAnsi="Titillium" w:cstheme="minorHAnsi"/>
          <w:sz w:val="20"/>
          <w:szCs w:val="20"/>
        </w:rPr>
        <w:t>la documentazione specifica relativa a ciascuna procedura di affidamento e a ciascun atto giustificativo di spesa e di pagamento la complessiva rendicontazione delle spese sostenute.</w:t>
      </w:r>
    </w:p>
    <w:p w14:paraId="273A0B07" w14:textId="48B36CBD"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Per quanto riguarda le spese ammissibili, le modalità e la tempistica di rendicontazione si rinvia a quanto previsto nell’art. </w:t>
      </w:r>
      <w:r w:rsidR="00B638E0">
        <w:rPr>
          <w:rFonts w:ascii="Titillium" w:hAnsi="Titillium" w:cstheme="minorHAnsi"/>
          <w:sz w:val="20"/>
          <w:szCs w:val="20"/>
        </w:rPr>
        <w:t>3.3</w:t>
      </w:r>
      <w:r w:rsidRPr="001845CA">
        <w:rPr>
          <w:rFonts w:ascii="Titillium" w:hAnsi="Titillium" w:cstheme="minorHAnsi"/>
          <w:sz w:val="20"/>
          <w:szCs w:val="20"/>
        </w:rPr>
        <w:t xml:space="preserve"> dell’Avviso </w:t>
      </w:r>
      <w:r w:rsidR="00B638E0" w:rsidRPr="00B638E0">
        <w:rPr>
          <w:rFonts w:ascii="Titillium" w:hAnsi="Titillium" w:cstheme="minorHAnsi"/>
          <w:sz w:val="20"/>
          <w:szCs w:val="20"/>
          <w:highlight w:val="green"/>
        </w:rPr>
        <w:t>(bando a cascata)</w:t>
      </w:r>
      <w:r w:rsidR="00B638E0">
        <w:rPr>
          <w:rFonts w:ascii="Titillium" w:hAnsi="Titillium" w:cstheme="minorHAnsi"/>
          <w:sz w:val="20"/>
          <w:szCs w:val="20"/>
        </w:rPr>
        <w:t xml:space="preserve"> </w:t>
      </w:r>
      <w:r w:rsidRPr="001845CA">
        <w:rPr>
          <w:rFonts w:ascii="Titillium" w:hAnsi="Titillium" w:cstheme="minorHAnsi"/>
          <w:sz w:val="20"/>
          <w:szCs w:val="20"/>
        </w:rPr>
        <w:t>e nell’art</w:t>
      </w:r>
      <w:r w:rsidRPr="00B638E0">
        <w:rPr>
          <w:rFonts w:ascii="Titillium" w:hAnsi="Titillium" w:cstheme="minorHAnsi"/>
          <w:sz w:val="20"/>
          <w:szCs w:val="20"/>
          <w:highlight w:val="green"/>
        </w:rPr>
        <w:t xml:space="preserve">. </w:t>
      </w:r>
      <w:r w:rsidR="00B638E0" w:rsidRPr="00B638E0">
        <w:rPr>
          <w:rFonts w:ascii="Titillium" w:hAnsi="Titillium" w:cstheme="minorHAnsi"/>
          <w:sz w:val="20"/>
          <w:szCs w:val="20"/>
          <w:highlight w:val="green"/>
        </w:rPr>
        <w:t>…</w:t>
      </w:r>
      <w:r w:rsidRPr="001845CA">
        <w:rPr>
          <w:rFonts w:ascii="Titillium" w:hAnsi="Titillium" w:cstheme="minorHAnsi"/>
          <w:sz w:val="20"/>
          <w:szCs w:val="20"/>
        </w:rPr>
        <w:t xml:space="preserve"> del Decreto di Concessione del Finanziamento. In particolare si dovrà fare riferimento alla normativa nazionale e comunitaria oltre alla vigente disciplina in materia di contratti pubblici relativi a lavori, servizi e forniture e a quanto ritenuto attualmente ammissibile a valere sui Fondi strutturali di investimento europei (SIE), nonché alle “Linee guida MUR per le iniziative di sistema per la missione 4 C2 – DM 1141 del 7/10/2021”, emanate dal MUR, alle Linee Guida per la rendicontazione destinate ai soggetti attuatori delle iniziative di sistema Missione 4 Componente 2 del 10.10.2022 Prot. 0007554, e ad eventuali successive integrazioni e aggiornamenti documentali da parte dell’amministrazione centrale titolare dell’intervento.</w:t>
      </w:r>
    </w:p>
    <w:p w14:paraId="78C5DDE3" w14:textId="77777777"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 spese rendicontate non devono essere finanziate da altre fonti del bilancio dell’Unione Europea o da altri fondi pubblici, inclusi i meccanismi di natura fiscale quali il credito di imposta, e devono rispettare il principio di addizionalità del sostegno dell’Unione Europea, in ottemperanza a quanto previsto dall’articolo 9 del Regolamento (UE) 2021/241e </w:t>
      </w:r>
      <w:proofErr w:type="spellStart"/>
      <w:r w:rsidRPr="001845CA">
        <w:rPr>
          <w:rFonts w:ascii="Titillium" w:hAnsi="Titillium" w:cstheme="minorHAnsi"/>
          <w:sz w:val="20"/>
          <w:szCs w:val="20"/>
        </w:rPr>
        <w:t>ss.mm.ii</w:t>
      </w:r>
      <w:proofErr w:type="spellEnd"/>
      <w:r w:rsidRPr="001845CA">
        <w:rPr>
          <w:rFonts w:ascii="Titillium" w:hAnsi="Titillium" w:cstheme="minorHAnsi"/>
          <w:sz w:val="20"/>
          <w:szCs w:val="20"/>
        </w:rPr>
        <w:t>. Nel caso in cui i finanziamenti ai soggetti attuatori/realizzatori configurino, in tutto o in parte, un aiuto di Stato ai sensi dell’articolo 107, paragrafo 1 del TFUE, si rinvia al Regolamento (UE) n. 2014/651 della Commissione Europea del 17 giugno 2014 per quanto attiene alle spese ammissibili, all’intensità delle agevolazioni concedibili nella forma del contributo alla spesa, nonché per ogni altra disposizione in merito.</w:t>
      </w:r>
    </w:p>
    <w:p w14:paraId="59DE3F34" w14:textId="2494AB6E" w:rsid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lastRenderedPageBreak/>
        <w:t>Le spese relative alle attività previste dal Programma di Ricerca e Innovazione del Partenariato Esteso sono rendicontate da</w:t>
      </w:r>
      <w:r w:rsidR="004509BD">
        <w:rPr>
          <w:rFonts w:ascii="Titillium" w:hAnsi="Titillium" w:cstheme="minorHAnsi"/>
          <w:sz w:val="20"/>
          <w:szCs w:val="20"/>
        </w:rPr>
        <w:t xml:space="preserve">i Beneficiari </w:t>
      </w:r>
      <w:r w:rsidRPr="001845CA">
        <w:rPr>
          <w:rFonts w:ascii="Titillium" w:hAnsi="Titillium" w:cstheme="minorHAnsi"/>
          <w:sz w:val="20"/>
          <w:szCs w:val="20"/>
        </w:rPr>
        <w:t>a</w:t>
      </w:r>
      <w:r w:rsidR="004509BD">
        <w:rPr>
          <w:rFonts w:ascii="Titillium" w:hAnsi="Titillium" w:cstheme="minorHAnsi"/>
          <w:sz w:val="20"/>
          <w:szCs w:val="20"/>
        </w:rPr>
        <w:t xml:space="preserve">llo </w:t>
      </w:r>
      <w:proofErr w:type="spellStart"/>
      <w:r w:rsidR="004509BD">
        <w:rPr>
          <w:rFonts w:ascii="Titillium" w:hAnsi="Titillium" w:cstheme="minorHAnsi"/>
          <w:sz w:val="20"/>
          <w:szCs w:val="20"/>
        </w:rPr>
        <w:t>Spoke</w:t>
      </w:r>
      <w:proofErr w:type="spellEnd"/>
      <w:r w:rsidR="004509BD">
        <w:rPr>
          <w:rFonts w:ascii="Titillium" w:hAnsi="Titillium" w:cstheme="minorHAnsi"/>
          <w:sz w:val="20"/>
          <w:szCs w:val="20"/>
        </w:rPr>
        <w:t>, d</w:t>
      </w:r>
      <w:r w:rsidRPr="001845CA">
        <w:rPr>
          <w:rFonts w:ascii="Titillium" w:hAnsi="Titillium" w:cstheme="minorHAnsi"/>
          <w:sz w:val="20"/>
          <w:szCs w:val="20"/>
        </w:rPr>
        <w:t>a</w:t>
      </w:r>
      <w:r w:rsidR="004509BD">
        <w:rPr>
          <w:rFonts w:ascii="Titillium" w:hAnsi="Titillium" w:cstheme="minorHAnsi"/>
          <w:sz w:val="20"/>
          <w:szCs w:val="20"/>
        </w:rPr>
        <w:t xml:space="preserve">llo </w:t>
      </w:r>
      <w:proofErr w:type="spellStart"/>
      <w:r w:rsidRPr="001845CA">
        <w:rPr>
          <w:rFonts w:ascii="Titillium" w:hAnsi="Titillium" w:cstheme="minorHAnsi"/>
          <w:sz w:val="20"/>
          <w:szCs w:val="20"/>
        </w:rPr>
        <w:t>Spoke</w:t>
      </w:r>
      <w:proofErr w:type="spellEnd"/>
      <w:r w:rsidRPr="001845CA">
        <w:rPr>
          <w:rFonts w:ascii="Titillium" w:hAnsi="Titillium" w:cstheme="minorHAnsi"/>
          <w:sz w:val="20"/>
          <w:szCs w:val="20"/>
        </w:rPr>
        <w:t xml:space="preserve"> all’Hub e da quest’ultimo al MUR attraverso la presentazione di apposite e periodiche domande di rimborso delle spese sostenute e degli eventuali costi esposti. </w:t>
      </w:r>
    </w:p>
    <w:p w14:paraId="41128A09" w14:textId="77777777" w:rsidR="009C4B30" w:rsidRPr="001845CA" w:rsidRDefault="009C4B30" w:rsidP="00A77813">
      <w:pPr>
        <w:tabs>
          <w:tab w:val="left" w:pos="0"/>
        </w:tabs>
        <w:spacing w:before="240"/>
        <w:ind w:left="-180"/>
        <w:jc w:val="both"/>
        <w:rPr>
          <w:rFonts w:ascii="Titillium" w:hAnsi="Titillium" w:cstheme="minorHAnsi"/>
          <w:sz w:val="20"/>
          <w:szCs w:val="20"/>
        </w:rPr>
      </w:pPr>
    </w:p>
    <w:p w14:paraId="3F8FD609" w14:textId="00C00A78" w:rsidR="00AF3030" w:rsidRPr="00BB4B99" w:rsidRDefault="00AF3030" w:rsidP="00AF3030">
      <w:pPr>
        <w:pStyle w:val="Titolo1"/>
        <w:spacing w:line="240" w:lineRule="auto"/>
        <w:ind w:left="-360"/>
        <w:rPr>
          <w:rFonts w:ascii="Titillium" w:hAnsi="Titillium"/>
          <w:sz w:val="20"/>
          <w:szCs w:val="20"/>
        </w:rPr>
      </w:pPr>
      <w:r w:rsidRPr="00BB4B99">
        <w:rPr>
          <w:rFonts w:ascii="Titillium" w:hAnsi="Titillium"/>
          <w:sz w:val="20"/>
          <w:szCs w:val="20"/>
        </w:rPr>
        <w:t>Art. 1</w:t>
      </w:r>
      <w:r w:rsidR="000C42A2">
        <w:rPr>
          <w:rFonts w:ascii="Titillium" w:hAnsi="Titillium"/>
          <w:sz w:val="20"/>
          <w:szCs w:val="20"/>
        </w:rPr>
        <w:t>2</w:t>
      </w:r>
      <w:r w:rsidRPr="00BB4B99">
        <w:rPr>
          <w:rFonts w:ascii="Titillium" w:hAnsi="Titillium"/>
          <w:sz w:val="20"/>
          <w:szCs w:val="20"/>
        </w:rPr>
        <w:t xml:space="preserve"> - Procedura di erogazione del finanziamento e disciplina delle garanzie</w:t>
      </w:r>
    </w:p>
    <w:p w14:paraId="0C12FCF3" w14:textId="37DEA3CE" w:rsidR="00AF3030" w:rsidRPr="00923E73" w:rsidRDefault="00AF3030" w:rsidP="009C4B30">
      <w:pPr>
        <w:spacing w:before="240"/>
        <w:ind w:left="-142"/>
        <w:jc w:val="both"/>
        <w:rPr>
          <w:rFonts w:ascii="Titillium" w:hAnsi="Titillium" w:cstheme="minorHAnsi"/>
          <w:sz w:val="20"/>
          <w:szCs w:val="20"/>
        </w:rPr>
      </w:pPr>
      <w:r w:rsidRPr="00923E73">
        <w:rPr>
          <w:rFonts w:ascii="Titillium" w:hAnsi="Titillium" w:cstheme="minorHAnsi"/>
          <w:sz w:val="20"/>
          <w:szCs w:val="20"/>
        </w:rPr>
        <w:t xml:space="preserve">L’erogazione del finanziamento di cui all’art.6 - Budget avverrà nel rispetto della procedura di erogazione delle agevolazioni prevista dal Decreto Ministeriale n. 1314 del 14 dicembre 2021 e </w:t>
      </w:r>
      <w:proofErr w:type="spellStart"/>
      <w:r w:rsidRPr="00923E73">
        <w:rPr>
          <w:rFonts w:ascii="Titillium" w:hAnsi="Titillium" w:cstheme="minorHAnsi"/>
          <w:sz w:val="20"/>
          <w:szCs w:val="20"/>
        </w:rPr>
        <w:t>ss.mm.ii</w:t>
      </w:r>
      <w:proofErr w:type="spellEnd"/>
      <w:r w:rsidRPr="00923E73">
        <w:rPr>
          <w:rFonts w:ascii="Titillium" w:hAnsi="Titillium" w:cstheme="minorHAnsi"/>
          <w:sz w:val="20"/>
          <w:szCs w:val="20"/>
        </w:rPr>
        <w:t xml:space="preserve">. e in coerenza con il Cronoprogramma e </w:t>
      </w:r>
      <w:r w:rsidR="009C4B30" w:rsidRPr="00923E73">
        <w:rPr>
          <w:rFonts w:ascii="Titillium" w:hAnsi="Titillium" w:cstheme="minorHAnsi"/>
          <w:sz w:val="20"/>
          <w:szCs w:val="20"/>
        </w:rPr>
        <w:t xml:space="preserve">il </w:t>
      </w:r>
      <w:r w:rsidRPr="00923E73">
        <w:rPr>
          <w:rFonts w:ascii="Titillium" w:hAnsi="Titillium" w:cstheme="minorHAnsi"/>
          <w:sz w:val="20"/>
          <w:szCs w:val="20"/>
        </w:rPr>
        <w:t xml:space="preserve">Piano </w:t>
      </w:r>
      <w:r w:rsidR="009C4B30" w:rsidRPr="00923E73">
        <w:rPr>
          <w:rFonts w:ascii="Titillium" w:hAnsi="Titillium" w:cstheme="minorHAnsi"/>
          <w:sz w:val="20"/>
          <w:szCs w:val="20"/>
        </w:rPr>
        <w:t xml:space="preserve">economico-finanziario </w:t>
      </w:r>
      <w:r w:rsidRPr="00923E73">
        <w:rPr>
          <w:rFonts w:ascii="Titillium" w:hAnsi="Titillium" w:cstheme="minorHAnsi"/>
          <w:sz w:val="20"/>
          <w:szCs w:val="20"/>
        </w:rPr>
        <w:t xml:space="preserve">di cui all’Allegato </w:t>
      </w:r>
      <w:r w:rsidR="009C4B30" w:rsidRPr="00923E73">
        <w:rPr>
          <w:rFonts w:ascii="Titillium" w:hAnsi="Titillium" w:cstheme="minorHAnsi"/>
          <w:sz w:val="20"/>
          <w:szCs w:val="20"/>
          <w:highlight w:val="green"/>
        </w:rPr>
        <w:t>X</w:t>
      </w:r>
      <w:r w:rsidRPr="00923E73">
        <w:rPr>
          <w:rFonts w:ascii="Titillium" w:hAnsi="Titillium" w:cstheme="minorHAnsi"/>
          <w:sz w:val="20"/>
          <w:szCs w:val="20"/>
        </w:rPr>
        <w:t xml:space="preserve"> del Decreto di Concessione e </w:t>
      </w:r>
      <w:proofErr w:type="spellStart"/>
      <w:r w:rsidRPr="00923E73">
        <w:rPr>
          <w:rFonts w:ascii="Titillium" w:hAnsi="Titillium" w:cstheme="minorHAnsi"/>
          <w:sz w:val="20"/>
          <w:szCs w:val="20"/>
        </w:rPr>
        <w:t>ss.mm.ii</w:t>
      </w:r>
      <w:proofErr w:type="spellEnd"/>
      <w:r w:rsidRPr="00923E73">
        <w:rPr>
          <w:rFonts w:ascii="Titillium" w:hAnsi="Titillium" w:cstheme="minorHAnsi"/>
          <w:sz w:val="20"/>
          <w:szCs w:val="20"/>
        </w:rPr>
        <w:t>.</w:t>
      </w:r>
    </w:p>
    <w:p w14:paraId="7217512E" w14:textId="58916811" w:rsidR="00AF3030" w:rsidRPr="00923E73" w:rsidRDefault="00AF3030" w:rsidP="008B6381">
      <w:pPr>
        <w:spacing w:before="240"/>
        <w:ind w:left="-142"/>
        <w:jc w:val="both"/>
        <w:rPr>
          <w:rFonts w:ascii="Titillium" w:hAnsi="Titillium" w:cstheme="minorHAnsi"/>
          <w:sz w:val="20"/>
          <w:szCs w:val="20"/>
        </w:rPr>
      </w:pPr>
      <w:r w:rsidRPr="00923E73">
        <w:rPr>
          <w:rFonts w:ascii="Titillium" w:hAnsi="Titillium" w:cstheme="minorHAnsi"/>
          <w:sz w:val="20"/>
          <w:szCs w:val="20"/>
        </w:rPr>
        <w:t>L</w:t>
      </w:r>
      <w:r w:rsidR="009C4B30" w:rsidRPr="00923E73">
        <w:rPr>
          <w:rFonts w:ascii="Titillium" w:hAnsi="Titillium" w:cstheme="minorHAnsi"/>
          <w:sz w:val="20"/>
          <w:szCs w:val="20"/>
        </w:rPr>
        <w:t xml:space="preserve">o </w:t>
      </w:r>
      <w:proofErr w:type="spellStart"/>
      <w:r w:rsidR="009C4B30" w:rsidRPr="00923E73">
        <w:rPr>
          <w:rFonts w:ascii="Titillium" w:hAnsi="Titillium" w:cstheme="minorHAnsi"/>
          <w:sz w:val="20"/>
          <w:szCs w:val="20"/>
        </w:rPr>
        <w:t>Spoke</w:t>
      </w:r>
      <w:proofErr w:type="spellEnd"/>
      <w:r w:rsidR="009C4B30" w:rsidRPr="00923E73">
        <w:rPr>
          <w:rFonts w:ascii="Titillium" w:hAnsi="Titillium" w:cstheme="minorHAnsi"/>
          <w:sz w:val="20"/>
          <w:szCs w:val="20"/>
        </w:rPr>
        <w:t xml:space="preserve"> </w:t>
      </w:r>
      <w:r w:rsidR="009C4B30" w:rsidRPr="008B6381">
        <w:rPr>
          <w:rFonts w:ascii="Titillium" w:hAnsi="Titillium" w:cstheme="minorHAnsi"/>
          <w:b/>
          <w:bCs/>
          <w:sz w:val="20"/>
          <w:szCs w:val="20"/>
        </w:rPr>
        <w:t>può</w:t>
      </w:r>
      <w:r w:rsidR="009C4B30" w:rsidRPr="00923E73">
        <w:rPr>
          <w:rFonts w:ascii="Titillium" w:hAnsi="Titillium" w:cstheme="minorHAnsi"/>
          <w:sz w:val="20"/>
          <w:szCs w:val="20"/>
        </w:rPr>
        <w:t xml:space="preserve"> richi</w:t>
      </w:r>
      <w:r w:rsidRPr="00923E73">
        <w:rPr>
          <w:rFonts w:ascii="Titillium" w:hAnsi="Titillium" w:cstheme="minorHAnsi"/>
          <w:sz w:val="20"/>
          <w:szCs w:val="20"/>
        </w:rPr>
        <w:t>edere una prima erogazione, a titolo di anticipazione, nella misura massima del 10% dell’importo massimo del finanziamento di cui all’art.6 - Budget.</w:t>
      </w:r>
      <w:r w:rsidR="008B6381">
        <w:rPr>
          <w:rFonts w:ascii="Titillium" w:hAnsi="Titillium" w:cstheme="minorHAnsi"/>
          <w:sz w:val="20"/>
          <w:szCs w:val="20"/>
        </w:rPr>
        <w:t xml:space="preserve"> </w:t>
      </w:r>
      <w:r w:rsidRPr="00BB4B99">
        <w:rPr>
          <w:rFonts w:ascii="Titillium" w:hAnsi="Titillium"/>
          <w:sz w:val="20"/>
          <w:szCs w:val="20"/>
        </w:rPr>
        <w:t xml:space="preserve">Le successive erogazioni, fino all’importo massimo previsto nell’Art. 6 - Budget, saranno effettuate in coincidenza con le Milestone previste nell’Allegato </w:t>
      </w:r>
      <w:r w:rsidR="009C4B30" w:rsidRPr="00BB4B99">
        <w:rPr>
          <w:rFonts w:ascii="Titillium" w:hAnsi="Titillium"/>
          <w:sz w:val="20"/>
          <w:szCs w:val="20"/>
          <w:highlight w:val="green"/>
        </w:rPr>
        <w:t>X</w:t>
      </w:r>
      <w:r w:rsidRPr="00BB4B99">
        <w:rPr>
          <w:rFonts w:ascii="Titillium" w:hAnsi="Titillium"/>
          <w:sz w:val="20"/>
          <w:szCs w:val="20"/>
        </w:rPr>
        <w:t xml:space="preserve"> – Cronoprogramma e Piano </w:t>
      </w:r>
      <w:r w:rsidR="009C4B30" w:rsidRPr="00BB4B99">
        <w:rPr>
          <w:rFonts w:ascii="Titillium" w:hAnsi="Titillium"/>
          <w:sz w:val="20"/>
          <w:szCs w:val="20"/>
        </w:rPr>
        <w:t>economico-finanziario</w:t>
      </w:r>
      <w:r w:rsidRPr="00BB4B99">
        <w:rPr>
          <w:rFonts w:ascii="Titillium" w:hAnsi="Titillium"/>
          <w:sz w:val="20"/>
          <w:szCs w:val="20"/>
        </w:rPr>
        <w:t>, previo esito positivo della verifica svolta da parte del MUR, per il tramite di organi di valutazione scientifica nominati dal CNVR, sulla documentazione attestante che le attività progettuali svolte abbiano conseguito i milestone e target previsti e associati all’intervento.</w:t>
      </w:r>
      <w:r w:rsidR="008B6381">
        <w:rPr>
          <w:rFonts w:ascii="Titillium" w:hAnsi="Titillium"/>
          <w:sz w:val="20"/>
          <w:szCs w:val="20"/>
        </w:rPr>
        <w:t xml:space="preserve"> </w:t>
      </w:r>
      <w:r w:rsidRPr="00923E73">
        <w:rPr>
          <w:rFonts w:ascii="Titillium" w:hAnsi="Titillium" w:cstheme="minorHAnsi"/>
          <w:sz w:val="20"/>
          <w:szCs w:val="20"/>
        </w:rPr>
        <w:t>L’importo dell’erogazione prevista per ciascuna Milestone sarà rapportato al livello di rendicontazione raggiunto così come definito nel citato Cronoprogramma.</w:t>
      </w:r>
    </w:p>
    <w:p w14:paraId="039256DD" w14:textId="77777777" w:rsidR="00AF3030" w:rsidRPr="009C4B30" w:rsidRDefault="00AF3030" w:rsidP="009C4B30">
      <w:pPr>
        <w:tabs>
          <w:tab w:val="left" w:pos="0"/>
        </w:tabs>
        <w:spacing w:before="240"/>
        <w:ind w:left="-142"/>
        <w:jc w:val="both"/>
        <w:rPr>
          <w:rFonts w:ascii="Titillium" w:hAnsi="Titillium" w:cstheme="minorHAnsi"/>
          <w:color w:val="FF0000"/>
          <w:sz w:val="20"/>
          <w:szCs w:val="20"/>
        </w:rPr>
      </w:pPr>
      <w:r w:rsidRPr="00923E73">
        <w:rPr>
          <w:rFonts w:ascii="Titillium" w:hAnsi="Titillium" w:cstheme="minorHAnsi"/>
          <w:sz w:val="20"/>
          <w:szCs w:val="20"/>
        </w:rPr>
        <w:t>A seguito della verifica svolta dal MUR per il tramite dell’Agenzia nazionale per l’attrazione degli investimenti e lo sviluppo d’impresa Spa – Invitalia –  in attuazione della Legge 30 dicembre 2020, n. 178 art. 1 comma 550 ovvero di altri soggetti incaricati dal MUR, sulla documentazione amministrativo-contabile di rendicontazione delle spese sostenute, sarà accertata la misura del contributo maturato in relazione alle spese ammissibili rispetto alle erogazioni, finalizzata ad accertare la misura del contributo pubblico maturato in relazione alle spese ammissibili, rispetto alle erogazioni precedentemente disposte.</w:t>
      </w:r>
    </w:p>
    <w:p w14:paraId="201B0739" w14:textId="4D3E102E" w:rsidR="00AF3030" w:rsidRPr="00BA4A25" w:rsidRDefault="00AF3030" w:rsidP="009C4B30">
      <w:pPr>
        <w:spacing w:before="240"/>
        <w:ind w:left="-142"/>
        <w:jc w:val="both"/>
        <w:rPr>
          <w:rFonts w:ascii="Titillium" w:hAnsi="Titillium"/>
          <w:sz w:val="20"/>
          <w:szCs w:val="20"/>
        </w:rPr>
      </w:pPr>
      <w:r w:rsidRPr="00BA4A25">
        <w:rPr>
          <w:rFonts w:ascii="Titillium" w:hAnsi="Titillium"/>
          <w:sz w:val="20"/>
          <w:szCs w:val="20"/>
        </w:rPr>
        <w:t>L’erogazione finale è disposta a conclusione del progetto, sulla base dei costi effettivamente sostenuti e del conseguimento degli obiettivi fissati e positivamente valutati secondo la procedura descritta nel presente articolo. Qualora l’ammontare delle erogazioni precedentemente disposte sia superiore all’ammontare del contributo pubblico maturato in relazione alle spese ammissibili, l</w:t>
      </w:r>
      <w:r w:rsidR="009C4B30" w:rsidRPr="00BA4A25">
        <w:rPr>
          <w:rFonts w:ascii="Titillium" w:hAnsi="Titillium"/>
          <w:sz w:val="20"/>
          <w:szCs w:val="20"/>
        </w:rPr>
        <w:t xml:space="preserve">o </w:t>
      </w:r>
      <w:proofErr w:type="spellStart"/>
      <w:r w:rsidR="009C4B30" w:rsidRPr="00BA4A25">
        <w:rPr>
          <w:rFonts w:ascii="Titillium" w:hAnsi="Titillium"/>
          <w:sz w:val="20"/>
          <w:szCs w:val="20"/>
        </w:rPr>
        <w:t>Spoke</w:t>
      </w:r>
      <w:proofErr w:type="spellEnd"/>
      <w:r w:rsidR="009C4B30" w:rsidRPr="00BA4A25">
        <w:rPr>
          <w:rFonts w:ascii="Titillium" w:hAnsi="Titillium"/>
          <w:sz w:val="20"/>
          <w:szCs w:val="20"/>
        </w:rPr>
        <w:t xml:space="preserve"> </w:t>
      </w:r>
      <w:r w:rsidRPr="00BA4A25">
        <w:rPr>
          <w:rFonts w:ascii="Titillium" w:hAnsi="Titillium"/>
          <w:sz w:val="20"/>
          <w:szCs w:val="20"/>
        </w:rPr>
        <w:t>procederà a recuperare la differenza.</w:t>
      </w:r>
    </w:p>
    <w:p w14:paraId="47F0CC41" w14:textId="77777777" w:rsidR="00AF3030" w:rsidRPr="00BA4A25" w:rsidRDefault="00AF3030" w:rsidP="009C4B30">
      <w:pPr>
        <w:autoSpaceDE w:val="0"/>
        <w:autoSpaceDN w:val="0"/>
        <w:adjustRightInd w:val="0"/>
        <w:ind w:left="-142"/>
        <w:jc w:val="both"/>
        <w:rPr>
          <w:rFonts w:ascii="Titillium" w:hAnsi="Titillium" w:cstheme="minorHAnsi"/>
          <w:sz w:val="20"/>
          <w:szCs w:val="20"/>
        </w:rPr>
      </w:pPr>
    </w:p>
    <w:p w14:paraId="0C2344A7" w14:textId="1D9900EE" w:rsidR="00AF3030" w:rsidRPr="00BA4A25" w:rsidRDefault="00BA4A25" w:rsidP="009C4B30">
      <w:pPr>
        <w:autoSpaceDE w:val="0"/>
        <w:autoSpaceDN w:val="0"/>
        <w:adjustRightInd w:val="0"/>
        <w:ind w:left="-142"/>
        <w:jc w:val="both"/>
        <w:rPr>
          <w:rFonts w:ascii="Titillium" w:hAnsi="Titillium" w:cstheme="minorHAnsi"/>
          <w:sz w:val="20"/>
          <w:szCs w:val="20"/>
        </w:rPr>
      </w:pPr>
      <w:r w:rsidRPr="00BA4A25">
        <w:rPr>
          <w:rFonts w:ascii="Titillium" w:hAnsi="Titillium" w:cstheme="minorHAnsi"/>
          <w:sz w:val="20"/>
          <w:szCs w:val="20"/>
        </w:rPr>
        <w:t>I Beneficiari c</w:t>
      </w:r>
      <w:r w:rsidR="00AF3030" w:rsidRPr="00BA4A25">
        <w:rPr>
          <w:rFonts w:ascii="Titillium" w:hAnsi="Titillium" w:cstheme="minorHAnsi"/>
          <w:sz w:val="20"/>
          <w:szCs w:val="20"/>
        </w:rPr>
        <w:t>he intendano avvalersi o meno delle anticipazioni sono tenuti a darne comunicazione all</w:t>
      </w:r>
      <w:r w:rsidRPr="00BA4A25">
        <w:rPr>
          <w:rFonts w:ascii="Titillium" w:hAnsi="Titillium" w:cstheme="minorHAnsi"/>
          <w:sz w:val="20"/>
          <w:szCs w:val="20"/>
        </w:rPr>
        <w:t xml:space="preserve">o </w:t>
      </w:r>
      <w:proofErr w:type="spellStart"/>
      <w:r w:rsidRPr="00BA4A25">
        <w:rPr>
          <w:rFonts w:ascii="Titillium" w:hAnsi="Titillium" w:cstheme="minorHAnsi"/>
          <w:sz w:val="20"/>
          <w:szCs w:val="20"/>
        </w:rPr>
        <w:t>Spoke</w:t>
      </w:r>
      <w:proofErr w:type="spellEnd"/>
      <w:r w:rsidRPr="00BA4A25">
        <w:rPr>
          <w:rFonts w:ascii="Titillium" w:hAnsi="Titillium" w:cstheme="minorHAnsi"/>
          <w:sz w:val="20"/>
          <w:szCs w:val="20"/>
        </w:rPr>
        <w:t xml:space="preserve"> </w:t>
      </w:r>
      <w:r w:rsidR="00AF3030" w:rsidRPr="00BA4A25">
        <w:rPr>
          <w:rFonts w:ascii="Titillium" w:hAnsi="Titillium" w:cstheme="minorHAnsi"/>
          <w:sz w:val="20"/>
          <w:szCs w:val="20"/>
        </w:rPr>
        <w:t>entro e non oltre quindici giorni dalla ricezione della relativa comunicazione da parte dell</w:t>
      </w:r>
      <w:r w:rsidRPr="00BA4A25">
        <w:rPr>
          <w:rFonts w:ascii="Titillium" w:hAnsi="Titillium" w:cstheme="minorHAnsi"/>
          <w:sz w:val="20"/>
          <w:szCs w:val="20"/>
        </w:rPr>
        <w:t xml:space="preserve">o </w:t>
      </w:r>
      <w:proofErr w:type="spellStart"/>
      <w:r w:rsidRPr="00BA4A25">
        <w:rPr>
          <w:rFonts w:ascii="Titillium" w:hAnsi="Titillium" w:cstheme="minorHAnsi"/>
          <w:sz w:val="20"/>
          <w:szCs w:val="20"/>
        </w:rPr>
        <w:t>Spoke</w:t>
      </w:r>
      <w:proofErr w:type="spellEnd"/>
      <w:r w:rsidRPr="00BA4A25">
        <w:rPr>
          <w:rFonts w:ascii="Titillium" w:hAnsi="Titillium" w:cstheme="minorHAnsi"/>
          <w:sz w:val="20"/>
          <w:szCs w:val="20"/>
        </w:rPr>
        <w:t xml:space="preserve"> </w:t>
      </w:r>
      <w:r w:rsidR="00AF3030" w:rsidRPr="00BA4A25">
        <w:rPr>
          <w:rFonts w:ascii="Titillium" w:hAnsi="Titillium" w:cstheme="minorHAnsi"/>
          <w:sz w:val="20"/>
          <w:szCs w:val="20"/>
        </w:rPr>
        <w:t>stess</w:t>
      </w:r>
      <w:r w:rsidRPr="00BA4A25">
        <w:rPr>
          <w:rFonts w:ascii="Titillium" w:hAnsi="Titillium" w:cstheme="minorHAnsi"/>
          <w:sz w:val="20"/>
          <w:szCs w:val="20"/>
        </w:rPr>
        <w:t>o</w:t>
      </w:r>
      <w:r w:rsidR="00AF3030" w:rsidRPr="00BA4A25">
        <w:rPr>
          <w:rFonts w:ascii="Titillium" w:hAnsi="Titillium" w:cstheme="minorHAnsi"/>
          <w:sz w:val="20"/>
          <w:szCs w:val="20"/>
        </w:rPr>
        <w:t>.</w:t>
      </w:r>
    </w:p>
    <w:p w14:paraId="400D6FCB" w14:textId="29371C0C" w:rsidR="00AF3030" w:rsidRPr="00923E73" w:rsidRDefault="00923E73" w:rsidP="009C4B30">
      <w:pPr>
        <w:tabs>
          <w:tab w:val="left" w:pos="0"/>
        </w:tabs>
        <w:spacing w:before="240"/>
        <w:ind w:left="-142"/>
        <w:jc w:val="both"/>
        <w:rPr>
          <w:rFonts w:ascii="Titillium" w:hAnsi="Titillium" w:cstheme="minorHAnsi"/>
          <w:sz w:val="20"/>
          <w:szCs w:val="20"/>
        </w:rPr>
      </w:pPr>
      <w:r w:rsidRPr="00923E73">
        <w:rPr>
          <w:rFonts w:ascii="Titillium" w:hAnsi="Titillium" w:cstheme="minorHAnsi"/>
          <w:sz w:val="20"/>
          <w:szCs w:val="20"/>
        </w:rPr>
        <w:t xml:space="preserve">I Beneficiari </w:t>
      </w:r>
      <w:r w:rsidR="00AF3030" w:rsidRPr="00923E73">
        <w:rPr>
          <w:rFonts w:ascii="Titillium" w:hAnsi="Titillium" w:cstheme="minorHAnsi"/>
          <w:sz w:val="20"/>
          <w:szCs w:val="20"/>
        </w:rPr>
        <w:t>prendono atto e accettano che l’erogazione delle agevolazioni, sia a titolo di anticipazioni che conseguenti alle rendicontazioni, da parte dell</w:t>
      </w:r>
      <w:r w:rsidRPr="00923E73">
        <w:rPr>
          <w:rFonts w:ascii="Titillium" w:hAnsi="Titillium" w:cstheme="minorHAnsi"/>
          <w:sz w:val="20"/>
          <w:szCs w:val="20"/>
        </w:rPr>
        <w:t xml:space="preserve">o </w:t>
      </w:r>
      <w:proofErr w:type="spellStart"/>
      <w:r w:rsidRPr="00923E73">
        <w:rPr>
          <w:rFonts w:ascii="Titillium" w:hAnsi="Titillium" w:cstheme="minorHAnsi"/>
          <w:sz w:val="20"/>
          <w:szCs w:val="20"/>
        </w:rPr>
        <w:t>Spoke</w:t>
      </w:r>
      <w:proofErr w:type="spellEnd"/>
      <w:r w:rsidRPr="00923E73">
        <w:rPr>
          <w:rFonts w:ascii="Titillium" w:hAnsi="Titillium" w:cstheme="minorHAnsi"/>
          <w:sz w:val="20"/>
          <w:szCs w:val="20"/>
        </w:rPr>
        <w:t xml:space="preserve"> </w:t>
      </w:r>
      <w:r w:rsidR="00AF3030" w:rsidRPr="00923E73">
        <w:rPr>
          <w:rFonts w:ascii="Titillium" w:hAnsi="Titillium" w:cstheme="minorHAnsi"/>
          <w:sz w:val="20"/>
          <w:szCs w:val="20"/>
        </w:rPr>
        <w:t>è subordinata all’erogazione delle medesime agevolazioni da parte del MUR all</w:t>
      </w:r>
      <w:r w:rsidRPr="00923E73">
        <w:rPr>
          <w:rFonts w:ascii="Titillium" w:hAnsi="Titillium" w:cstheme="minorHAnsi"/>
          <w:sz w:val="20"/>
          <w:szCs w:val="20"/>
        </w:rPr>
        <w:t xml:space="preserve">o </w:t>
      </w:r>
      <w:proofErr w:type="spellStart"/>
      <w:r w:rsidRPr="00923E73">
        <w:rPr>
          <w:rFonts w:ascii="Titillium" w:hAnsi="Titillium" w:cstheme="minorHAnsi"/>
          <w:sz w:val="20"/>
          <w:szCs w:val="20"/>
        </w:rPr>
        <w:t>Spoke</w:t>
      </w:r>
      <w:proofErr w:type="spellEnd"/>
      <w:r w:rsidRPr="00923E73">
        <w:rPr>
          <w:rFonts w:ascii="Titillium" w:hAnsi="Titillium" w:cstheme="minorHAnsi"/>
          <w:sz w:val="20"/>
          <w:szCs w:val="20"/>
        </w:rPr>
        <w:t xml:space="preserve"> </w:t>
      </w:r>
      <w:r w:rsidR="00AF3030" w:rsidRPr="00923E73">
        <w:rPr>
          <w:rFonts w:ascii="Titillium" w:hAnsi="Titillium" w:cstheme="minorHAnsi"/>
          <w:sz w:val="20"/>
          <w:szCs w:val="20"/>
        </w:rPr>
        <w:t>e che nessuna somma potrà essere erogata dall</w:t>
      </w:r>
      <w:r w:rsidRPr="00923E73">
        <w:rPr>
          <w:rFonts w:ascii="Titillium" w:hAnsi="Titillium" w:cstheme="minorHAnsi"/>
          <w:sz w:val="20"/>
          <w:szCs w:val="20"/>
        </w:rPr>
        <w:t xml:space="preserve">o </w:t>
      </w:r>
      <w:proofErr w:type="spellStart"/>
      <w:r w:rsidRPr="00923E73">
        <w:rPr>
          <w:rFonts w:ascii="Titillium" w:hAnsi="Titillium" w:cstheme="minorHAnsi"/>
          <w:sz w:val="20"/>
          <w:szCs w:val="20"/>
        </w:rPr>
        <w:t>Spoke</w:t>
      </w:r>
      <w:proofErr w:type="spellEnd"/>
      <w:r w:rsidRPr="00923E73">
        <w:rPr>
          <w:rFonts w:ascii="Titillium" w:hAnsi="Titillium" w:cstheme="minorHAnsi"/>
          <w:sz w:val="20"/>
          <w:szCs w:val="20"/>
        </w:rPr>
        <w:t xml:space="preserve"> </w:t>
      </w:r>
      <w:r w:rsidR="00AF3030" w:rsidRPr="00923E73">
        <w:rPr>
          <w:rFonts w:ascii="Titillium" w:hAnsi="Titillium" w:cstheme="minorHAnsi"/>
          <w:sz w:val="20"/>
          <w:szCs w:val="20"/>
        </w:rPr>
        <w:t>con risorse diverse da quelle provenienti dal MUR.</w:t>
      </w:r>
    </w:p>
    <w:p w14:paraId="5E869044" w14:textId="0E9B8F54" w:rsidR="00AF3030" w:rsidRPr="00923E73" w:rsidRDefault="00AF3030" w:rsidP="009C4B30">
      <w:pPr>
        <w:tabs>
          <w:tab w:val="left" w:pos="0"/>
        </w:tabs>
        <w:spacing w:before="240"/>
        <w:ind w:left="-142"/>
        <w:jc w:val="both"/>
        <w:rPr>
          <w:rFonts w:ascii="Titillium" w:hAnsi="Titillium"/>
          <w:sz w:val="20"/>
          <w:szCs w:val="20"/>
        </w:rPr>
      </w:pPr>
      <w:r w:rsidRPr="00923E73">
        <w:rPr>
          <w:rFonts w:ascii="Titillium" w:hAnsi="Titillium"/>
          <w:sz w:val="20"/>
          <w:szCs w:val="20"/>
        </w:rPr>
        <w:t xml:space="preserve">L’erogazione delle agevolazioni nei confronti </w:t>
      </w:r>
      <w:r w:rsidRPr="00B20355">
        <w:rPr>
          <w:rFonts w:ascii="Titillium" w:hAnsi="Titillium"/>
          <w:sz w:val="20"/>
          <w:szCs w:val="20"/>
        </w:rPr>
        <w:t>de</w:t>
      </w:r>
      <w:r w:rsidR="00923E73" w:rsidRPr="00B20355">
        <w:rPr>
          <w:rFonts w:ascii="Titillium" w:hAnsi="Titillium"/>
          <w:sz w:val="20"/>
          <w:szCs w:val="20"/>
        </w:rPr>
        <w:t xml:space="preserve">i Beneficiari </w:t>
      </w:r>
      <w:r w:rsidRPr="00B20355">
        <w:rPr>
          <w:rFonts w:ascii="Titillium" w:hAnsi="Titillium"/>
          <w:sz w:val="20"/>
          <w:szCs w:val="20"/>
        </w:rPr>
        <w:t>avverrà da parte dell</w:t>
      </w:r>
      <w:r w:rsidR="00923E73" w:rsidRPr="00B20355">
        <w:rPr>
          <w:rFonts w:ascii="Titillium" w:hAnsi="Titillium"/>
          <w:sz w:val="20"/>
          <w:szCs w:val="20"/>
        </w:rPr>
        <w:t xml:space="preserve">o </w:t>
      </w:r>
      <w:proofErr w:type="spellStart"/>
      <w:r w:rsidR="00923E73" w:rsidRPr="00B20355">
        <w:rPr>
          <w:rFonts w:ascii="Titillium" w:hAnsi="Titillium"/>
          <w:sz w:val="20"/>
          <w:szCs w:val="20"/>
        </w:rPr>
        <w:t>Spoke</w:t>
      </w:r>
      <w:proofErr w:type="spellEnd"/>
      <w:r w:rsidRPr="00B20355">
        <w:rPr>
          <w:rFonts w:ascii="Titillium" w:hAnsi="Titillium"/>
          <w:sz w:val="20"/>
          <w:szCs w:val="20"/>
        </w:rPr>
        <w:t>, entro</w:t>
      </w:r>
      <w:r w:rsidRPr="00923E73">
        <w:rPr>
          <w:rFonts w:ascii="Titillium" w:hAnsi="Titillium"/>
          <w:sz w:val="20"/>
          <w:szCs w:val="20"/>
        </w:rPr>
        <w:t xml:space="preserve"> 15 giorni dalla ricezione delle corrispondenti erogazioni da parte del MUR. </w:t>
      </w:r>
    </w:p>
    <w:p w14:paraId="4F779353" w14:textId="77777777" w:rsidR="004509BD" w:rsidRDefault="004509BD" w:rsidP="00A77813">
      <w:pPr>
        <w:keepNext/>
        <w:spacing w:before="120" w:after="120"/>
        <w:ind w:left="-180" w:right="-51"/>
        <w:jc w:val="center"/>
        <w:rPr>
          <w:rFonts w:ascii="Titillium" w:hAnsi="Titillium"/>
          <w:sz w:val="20"/>
          <w:szCs w:val="20"/>
        </w:rPr>
      </w:pPr>
    </w:p>
    <w:p w14:paraId="768F28E7" w14:textId="55144B56" w:rsidR="001845CA" w:rsidRPr="001845CA" w:rsidRDefault="001845CA" w:rsidP="00A77813">
      <w:pPr>
        <w:keepNext/>
        <w:spacing w:before="120" w:after="120"/>
        <w:ind w:left="-180" w:right="-51"/>
        <w:jc w:val="center"/>
        <w:rPr>
          <w:rFonts w:ascii="Titillium" w:hAnsi="Titillium" w:cstheme="minorHAnsi"/>
          <w:b/>
          <w:bCs/>
          <w:sz w:val="20"/>
          <w:szCs w:val="20"/>
        </w:rPr>
      </w:pPr>
      <w:r w:rsidRPr="001845CA">
        <w:rPr>
          <w:rFonts w:ascii="Titillium" w:hAnsi="Titillium" w:cstheme="minorHAnsi"/>
          <w:b/>
          <w:bCs/>
          <w:sz w:val="20"/>
          <w:szCs w:val="20"/>
        </w:rPr>
        <w:t>Art. 1</w:t>
      </w:r>
      <w:r w:rsidR="000C42A2">
        <w:rPr>
          <w:rFonts w:ascii="Titillium" w:hAnsi="Titillium" w:cstheme="minorHAnsi"/>
          <w:b/>
          <w:bCs/>
          <w:sz w:val="20"/>
          <w:szCs w:val="20"/>
        </w:rPr>
        <w:t>3</w:t>
      </w:r>
      <w:r w:rsidRPr="001845CA">
        <w:rPr>
          <w:rFonts w:ascii="Titillium" w:hAnsi="Titillium" w:cstheme="minorHAnsi"/>
          <w:b/>
          <w:bCs/>
          <w:sz w:val="20"/>
          <w:szCs w:val="20"/>
        </w:rPr>
        <w:t xml:space="preserve"> - Proprietà intellettuale dei risultati e loro sfruttamento</w:t>
      </w:r>
    </w:p>
    <w:p w14:paraId="6D2113E9" w14:textId="1712A366" w:rsidR="001845CA" w:rsidRPr="001845CA" w:rsidRDefault="001845CA" w:rsidP="00A77813">
      <w:pPr>
        <w:ind w:left="-180"/>
        <w:jc w:val="both"/>
        <w:rPr>
          <w:rFonts w:ascii="Titillium" w:hAnsi="Titillium" w:cstheme="minorHAnsi"/>
          <w:sz w:val="20"/>
          <w:szCs w:val="20"/>
        </w:rPr>
      </w:pPr>
      <w:r w:rsidRPr="001845CA">
        <w:rPr>
          <w:rFonts w:ascii="Titillium" w:hAnsi="Titillium" w:cstheme="minorHAnsi"/>
          <w:sz w:val="20"/>
          <w:szCs w:val="20"/>
        </w:rPr>
        <w:t xml:space="preserve">Il regime dei risultati e la disciplina applicabile sui diritti di proprietà intellettuale nonché il loro sfruttamento saranno regolati in un successivo </w:t>
      </w:r>
      <w:r w:rsidR="00CC5A7C">
        <w:rPr>
          <w:rFonts w:ascii="Titillium" w:hAnsi="Titillium" w:cstheme="minorHAnsi"/>
          <w:sz w:val="20"/>
          <w:szCs w:val="20"/>
        </w:rPr>
        <w:t>a</w:t>
      </w:r>
      <w:r w:rsidRPr="001845CA">
        <w:rPr>
          <w:rFonts w:ascii="Titillium" w:hAnsi="Titillium" w:cstheme="minorHAnsi"/>
          <w:sz w:val="20"/>
          <w:szCs w:val="20"/>
        </w:rPr>
        <w:t>ccordo specifico, che le parti si impegnano sin da ora a sottoscrivere.</w:t>
      </w:r>
    </w:p>
    <w:p w14:paraId="2905C45D" w14:textId="02B16436"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lastRenderedPageBreak/>
        <w:t>Art. 1</w:t>
      </w:r>
      <w:r w:rsidR="000C42A2">
        <w:rPr>
          <w:rFonts w:ascii="Titillium" w:hAnsi="Titillium"/>
          <w:sz w:val="20"/>
          <w:szCs w:val="20"/>
        </w:rPr>
        <w:t>4</w:t>
      </w:r>
      <w:r w:rsidRPr="001845CA">
        <w:rPr>
          <w:rFonts w:ascii="Titillium" w:hAnsi="Titillium"/>
          <w:sz w:val="20"/>
          <w:szCs w:val="20"/>
        </w:rPr>
        <w:t xml:space="preserve"> - Variazioni del progetto</w:t>
      </w:r>
    </w:p>
    <w:p w14:paraId="5D4ADADB" w14:textId="54CD0190" w:rsidR="001845CA" w:rsidRPr="001845CA" w:rsidRDefault="001845CA" w:rsidP="00A77813">
      <w:pPr>
        <w:tabs>
          <w:tab w:val="left" w:pos="0"/>
        </w:tabs>
        <w:spacing w:before="240"/>
        <w:ind w:left="-180" w:right="-1"/>
        <w:jc w:val="both"/>
        <w:rPr>
          <w:rFonts w:ascii="Titillium" w:hAnsi="Titillium" w:cstheme="minorHAnsi"/>
          <w:sz w:val="20"/>
          <w:szCs w:val="20"/>
        </w:rPr>
      </w:pPr>
      <w:r w:rsidRPr="001845CA">
        <w:rPr>
          <w:rFonts w:ascii="Titillium" w:hAnsi="Titillium" w:cstheme="minorHAnsi"/>
          <w:sz w:val="20"/>
          <w:szCs w:val="20"/>
        </w:rPr>
        <w:t>Ciascun soggetto realizzatore può proporre variazioni alle attività progettuali di sua competenza rispetto a quelle riportate nell’</w:t>
      </w:r>
      <w:r w:rsidRPr="00D85A40">
        <w:rPr>
          <w:rFonts w:ascii="Titillium" w:hAnsi="Titillium" w:cstheme="minorHAnsi"/>
          <w:sz w:val="20"/>
          <w:szCs w:val="20"/>
          <w:highlight w:val="green"/>
        </w:rPr>
        <w:t xml:space="preserve">Allegato </w:t>
      </w:r>
      <w:r w:rsidR="00D85A40" w:rsidRPr="00D85A40">
        <w:rPr>
          <w:rFonts w:ascii="Titillium" w:hAnsi="Titillium" w:cstheme="minorHAnsi"/>
          <w:sz w:val="20"/>
          <w:szCs w:val="20"/>
          <w:highlight w:val="green"/>
        </w:rPr>
        <w:t>X</w:t>
      </w:r>
      <w:r w:rsidRPr="001845CA">
        <w:rPr>
          <w:rFonts w:ascii="Titillium" w:hAnsi="Titillium" w:cstheme="minorHAnsi"/>
          <w:sz w:val="20"/>
          <w:szCs w:val="20"/>
        </w:rPr>
        <w:t xml:space="preserve"> del Decreto di Concessione del Finanziamento solo previa autorizzazione scritta dell</w:t>
      </w:r>
      <w:r w:rsidR="00D85A40">
        <w:rPr>
          <w:rFonts w:ascii="Titillium" w:hAnsi="Titillium" w:cstheme="minorHAnsi"/>
          <w:sz w:val="20"/>
          <w:szCs w:val="20"/>
        </w:rPr>
        <w:t xml:space="preserve">o </w:t>
      </w:r>
      <w:proofErr w:type="spellStart"/>
      <w:r w:rsidR="00D85A40">
        <w:rPr>
          <w:rFonts w:ascii="Titillium" w:hAnsi="Titillium" w:cstheme="minorHAnsi"/>
          <w:sz w:val="20"/>
          <w:szCs w:val="20"/>
        </w:rPr>
        <w:t>Spoke</w:t>
      </w:r>
      <w:proofErr w:type="spellEnd"/>
      <w:r w:rsidR="00D85A40">
        <w:rPr>
          <w:rFonts w:ascii="Titillium" w:hAnsi="Titillium" w:cstheme="minorHAnsi"/>
          <w:sz w:val="20"/>
          <w:szCs w:val="20"/>
        </w:rPr>
        <w:t>.</w:t>
      </w:r>
      <w:r w:rsidRPr="001845CA">
        <w:rPr>
          <w:rFonts w:ascii="Titillium" w:hAnsi="Titillium" w:cstheme="minorHAnsi"/>
          <w:sz w:val="20"/>
          <w:szCs w:val="20"/>
        </w:rPr>
        <w:t xml:space="preserve"> </w:t>
      </w:r>
    </w:p>
    <w:p w14:paraId="1BBAF0CE" w14:textId="683A9459" w:rsidR="001845CA" w:rsidRPr="001845CA" w:rsidRDefault="00D85A40" w:rsidP="00A77813">
      <w:pPr>
        <w:tabs>
          <w:tab w:val="left" w:pos="0"/>
        </w:tabs>
        <w:spacing w:before="240"/>
        <w:ind w:left="-180" w:right="-1"/>
        <w:jc w:val="both"/>
        <w:rPr>
          <w:rFonts w:ascii="Titillium" w:hAnsi="Titillium" w:cstheme="minorHAnsi"/>
          <w:sz w:val="20"/>
          <w:szCs w:val="20"/>
        </w:rPr>
      </w:pPr>
      <w:r>
        <w:rPr>
          <w:rFonts w:ascii="Titillium" w:hAnsi="Titillium" w:cstheme="minorHAnsi"/>
          <w:sz w:val="20"/>
          <w:szCs w:val="20"/>
        </w:rPr>
        <w:t xml:space="preserve">Lo </w:t>
      </w:r>
      <w:proofErr w:type="spellStart"/>
      <w:r>
        <w:rPr>
          <w:rFonts w:ascii="Titillium" w:hAnsi="Titillium" w:cstheme="minorHAnsi"/>
          <w:sz w:val="20"/>
          <w:szCs w:val="20"/>
        </w:rPr>
        <w:t>Spoke</w:t>
      </w:r>
      <w:proofErr w:type="spellEnd"/>
      <w:r>
        <w:rPr>
          <w:rFonts w:ascii="Titillium" w:hAnsi="Titillium" w:cstheme="minorHAnsi"/>
          <w:sz w:val="20"/>
          <w:szCs w:val="20"/>
        </w:rPr>
        <w:t xml:space="preserve"> si </w:t>
      </w:r>
      <w:r w:rsidR="001845CA" w:rsidRPr="001845CA">
        <w:rPr>
          <w:rFonts w:ascii="Titillium" w:hAnsi="Titillium" w:cstheme="minorHAnsi"/>
          <w:sz w:val="20"/>
          <w:szCs w:val="20"/>
        </w:rPr>
        <w:t xml:space="preserve">riserva la facoltà di non riconoscere ovvero di non approvare spese relative a variazioni delle attività del Progetto non autorizzate. </w:t>
      </w:r>
    </w:p>
    <w:p w14:paraId="6DB4E23B" w14:textId="0EA58F01" w:rsidR="001845CA" w:rsidRPr="001845CA" w:rsidRDefault="001845CA" w:rsidP="00A77813">
      <w:pPr>
        <w:tabs>
          <w:tab w:val="left" w:pos="0"/>
        </w:tabs>
        <w:spacing w:before="240"/>
        <w:ind w:left="-180" w:right="-1"/>
        <w:jc w:val="both"/>
        <w:rPr>
          <w:rFonts w:ascii="Titillium" w:hAnsi="Titillium" w:cstheme="minorHAnsi"/>
          <w:sz w:val="20"/>
          <w:szCs w:val="20"/>
        </w:rPr>
      </w:pPr>
      <w:r w:rsidRPr="001845CA">
        <w:rPr>
          <w:rFonts w:ascii="Titillium" w:hAnsi="Titillium" w:cstheme="minorHAnsi"/>
          <w:sz w:val="20"/>
          <w:szCs w:val="20"/>
        </w:rPr>
        <w:t>L</w:t>
      </w:r>
      <w:r w:rsidR="00D85A40">
        <w:rPr>
          <w:rFonts w:ascii="Titillium" w:hAnsi="Titillium" w:cstheme="minorHAnsi"/>
          <w:sz w:val="20"/>
          <w:szCs w:val="20"/>
        </w:rPr>
        <w:t xml:space="preserve">o </w:t>
      </w:r>
      <w:proofErr w:type="spellStart"/>
      <w:r w:rsidR="00D85A40">
        <w:rPr>
          <w:rFonts w:ascii="Titillium" w:hAnsi="Titillium" w:cstheme="minorHAnsi"/>
          <w:sz w:val="20"/>
          <w:szCs w:val="20"/>
        </w:rPr>
        <w:t>Spoke</w:t>
      </w:r>
      <w:proofErr w:type="spellEnd"/>
      <w:r w:rsidR="00D85A40">
        <w:rPr>
          <w:rFonts w:ascii="Titillium" w:hAnsi="Titillium" w:cstheme="minorHAnsi"/>
          <w:sz w:val="20"/>
          <w:szCs w:val="20"/>
        </w:rPr>
        <w:t xml:space="preserve"> </w:t>
      </w:r>
      <w:r w:rsidRPr="001845CA">
        <w:rPr>
          <w:rFonts w:ascii="Titillium" w:hAnsi="Titillium" w:cstheme="minorHAnsi"/>
          <w:sz w:val="20"/>
          <w:szCs w:val="20"/>
        </w:rPr>
        <w:t>si riserva comunque la facoltà di richiedere a</w:t>
      </w:r>
      <w:r w:rsidR="00D85A40">
        <w:rPr>
          <w:rFonts w:ascii="Titillium" w:hAnsi="Titillium" w:cstheme="minorHAnsi"/>
          <w:sz w:val="20"/>
          <w:szCs w:val="20"/>
        </w:rPr>
        <w:t xml:space="preserve">i Beneficiari </w:t>
      </w:r>
      <w:r w:rsidRPr="001845CA">
        <w:rPr>
          <w:rFonts w:ascii="Titillium" w:hAnsi="Titillium" w:cstheme="minorHAnsi"/>
          <w:sz w:val="20"/>
          <w:szCs w:val="20"/>
        </w:rPr>
        <w:t xml:space="preserve">e concordare con </w:t>
      </w:r>
      <w:r w:rsidR="00D85A40">
        <w:rPr>
          <w:rFonts w:ascii="Titillium" w:hAnsi="Titillium" w:cstheme="minorHAnsi"/>
          <w:sz w:val="20"/>
          <w:szCs w:val="20"/>
        </w:rPr>
        <w:t>i Beneficiari l</w:t>
      </w:r>
      <w:r w:rsidRPr="001845CA">
        <w:rPr>
          <w:rFonts w:ascii="Titillium" w:hAnsi="Titillium" w:cstheme="minorHAnsi"/>
          <w:sz w:val="20"/>
          <w:szCs w:val="20"/>
        </w:rPr>
        <w:t>e modifiche alle attività progettuali di competenza de</w:t>
      </w:r>
      <w:r w:rsidR="00D85A40">
        <w:rPr>
          <w:rFonts w:ascii="Titillium" w:hAnsi="Titillium" w:cstheme="minorHAnsi"/>
          <w:sz w:val="20"/>
          <w:szCs w:val="20"/>
        </w:rPr>
        <w:t xml:space="preserve">i Beneficiari </w:t>
      </w:r>
      <w:r w:rsidRPr="001845CA">
        <w:rPr>
          <w:rFonts w:ascii="Titillium" w:hAnsi="Titillium" w:cstheme="minorHAnsi"/>
          <w:sz w:val="20"/>
          <w:szCs w:val="20"/>
        </w:rPr>
        <w:t>che ritenga necessarie al fine del raggiungimento degli obiettivi del Programma</w:t>
      </w:r>
    </w:p>
    <w:p w14:paraId="4F57D1A4" w14:textId="365D5E98"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1</w:t>
      </w:r>
      <w:r w:rsidR="000C42A2">
        <w:rPr>
          <w:rFonts w:ascii="Titillium" w:hAnsi="Titillium"/>
          <w:sz w:val="20"/>
          <w:szCs w:val="20"/>
        </w:rPr>
        <w:t>5</w:t>
      </w:r>
      <w:r w:rsidRPr="001845CA">
        <w:rPr>
          <w:rFonts w:ascii="Titillium" w:hAnsi="Titillium"/>
          <w:sz w:val="20"/>
          <w:szCs w:val="20"/>
        </w:rPr>
        <w:t xml:space="preserve"> - Disimpegno delle risorse</w:t>
      </w:r>
    </w:p>
    <w:p w14:paraId="7712631B" w14:textId="77777777"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 xml:space="preserve">L’eventuale disimpegno delle risorse del Piano, previsto dall’articolo 24 del Reg. 2021/241 e dall’articolo 8 del </w:t>
      </w:r>
      <w:proofErr w:type="gramStart"/>
      <w:r w:rsidRPr="001845CA">
        <w:rPr>
          <w:rFonts w:ascii="Titillium" w:hAnsi="Titillium" w:cstheme="minorHAnsi"/>
          <w:sz w:val="20"/>
          <w:szCs w:val="20"/>
        </w:rPr>
        <w:t>decreto legge</w:t>
      </w:r>
      <w:proofErr w:type="gramEnd"/>
      <w:r w:rsidRPr="001845CA">
        <w:rPr>
          <w:rFonts w:ascii="Titillium" w:hAnsi="Titillium" w:cstheme="minorHAnsi"/>
          <w:sz w:val="20"/>
          <w:szCs w:val="20"/>
        </w:rPr>
        <w:t xml:space="preserve"> 31 maggio 2021, n. 77, come modificato dalla legge di conversione 29 luglio 2021, n. 108, comporta la riduzione o revoca delle risorse relative ai progetti che non hanno raggiunto gli obiettivi previsti, nel rispetto di quanto previsto dal Decreto di Concessione.</w:t>
      </w:r>
    </w:p>
    <w:p w14:paraId="1770FD8B" w14:textId="7FE36465"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1</w:t>
      </w:r>
      <w:r w:rsidR="000C42A2">
        <w:rPr>
          <w:rFonts w:ascii="Titillium" w:hAnsi="Titillium"/>
          <w:sz w:val="20"/>
          <w:szCs w:val="20"/>
        </w:rPr>
        <w:t>6</w:t>
      </w:r>
      <w:r w:rsidRPr="001845CA">
        <w:rPr>
          <w:rFonts w:ascii="Titillium" w:hAnsi="Titillium"/>
          <w:sz w:val="20"/>
          <w:szCs w:val="20"/>
        </w:rPr>
        <w:t xml:space="preserve"> - Meccanismi Sanzionatori</w:t>
      </w:r>
    </w:p>
    <w:p w14:paraId="64BB855A" w14:textId="56F2494F" w:rsidR="001845CA" w:rsidRPr="001845CA" w:rsidRDefault="004509BD" w:rsidP="00A77813">
      <w:pPr>
        <w:tabs>
          <w:tab w:val="left" w:pos="0"/>
        </w:tabs>
        <w:spacing w:before="240"/>
        <w:ind w:left="-180" w:right="-1"/>
        <w:jc w:val="both"/>
        <w:rPr>
          <w:rFonts w:ascii="Titillium" w:hAnsi="Titillium" w:cstheme="minorHAnsi"/>
          <w:sz w:val="20"/>
          <w:szCs w:val="20"/>
        </w:rPr>
      </w:pPr>
      <w:r>
        <w:rPr>
          <w:rFonts w:ascii="Titillium" w:hAnsi="Titillium" w:cstheme="minorHAnsi"/>
          <w:sz w:val="20"/>
          <w:szCs w:val="20"/>
        </w:rPr>
        <w:t>L</w:t>
      </w:r>
      <w:r w:rsidR="00B61836">
        <w:rPr>
          <w:rFonts w:ascii="Titillium" w:hAnsi="Titillium" w:cstheme="minorHAnsi"/>
          <w:sz w:val="20"/>
          <w:szCs w:val="20"/>
        </w:rPr>
        <w:t xml:space="preserve">o </w:t>
      </w:r>
      <w:proofErr w:type="spellStart"/>
      <w:r w:rsidR="00B61836">
        <w:rPr>
          <w:rFonts w:ascii="Titillium" w:hAnsi="Titillium" w:cstheme="minorHAnsi"/>
          <w:sz w:val="20"/>
          <w:szCs w:val="20"/>
        </w:rPr>
        <w:t>Spoke</w:t>
      </w:r>
      <w:proofErr w:type="spellEnd"/>
      <w:r w:rsidR="00B61836">
        <w:rPr>
          <w:rFonts w:ascii="Titillium" w:hAnsi="Titillium" w:cstheme="minorHAnsi"/>
          <w:sz w:val="20"/>
          <w:szCs w:val="20"/>
        </w:rPr>
        <w:t xml:space="preserve"> </w:t>
      </w:r>
      <w:r w:rsidR="001845CA" w:rsidRPr="001845CA">
        <w:rPr>
          <w:rFonts w:ascii="Titillium" w:hAnsi="Titillium" w:cstheme="minorHAnsi"/>
          <w:sz w:val="20"/>
          <w:szCs w:val="20"/>
        </w:rPr>
        <w:t xml:space="preserve">potrà avvalersi della facoltà di risolvere </w:t>
      </w:r>
      <w:r w:rsidR="00B61836">
        <w:rPr>
          <w:rFonts w:ascii="Titillium" w:hAnsi="Titillium" w:cstheme="minorHAnsi"/>
          <w:sz w:val="20"/>
          <w:szCs w:val="20"/>
        </w:rPr>
        <w:t>il presente accordo</w:t>
      </w:r>
      <w:r w:rsidR="001845CA" w:rsidRPr="001845CA">
        <w:rPr>
          <w:rFonts w:ascii="Titillium" w:hAnsi="Titillium" w:cstheme="minorHAnsi"/>
          <w:sz w:val="20"/>
          <w:szCs w:val="20"/>
        </w:rPr>
        <w:t xml:space="preserve"> qualora </w:t>
      </w:r>
      <w:r w:rsidR="00B61836">
        <w:rPr>
          <w:rFonts w:ascii="Titillium" w:hAnsi="Titillium" w:cstheme="minorHAnsi"/>
          <w:sz w:val="20"/>
          <w:szCs w:val="20"/>
        </w:rPr>
        <w:t xml:space="preserve">i Beneficiari </w:t>
      </w:r>
      <w:r w:rsidR="001845CA" w:rsidRPr="001845CA">
        <w:rPr>
          <w:rFonts w:ascii="Titillium" w:hAnsi="Titillium" w:cstheme="minorHAnsi"/>
          <w:sz w:val="20"/>
          <w:szCs w:val="20"/>
        </w:rPr>
        <w:t>non rispetti</w:t>
      </w:r>
      <w:r w:rsidR="00B61836">
        <w:rPr>
          <w:rFonts w:ascii="Titillium" w:hAnsi="Titillium" w:cstheme="minorHAnsi"/>
          <w:sz w:val="20"/>
          <w:szCs w:val="20"/>
        </w:rPr>
        <w:t>no</w:t>
      </w:r>
      <w:r w:rsidR="001845CA" w:rsidRPr="001845CA">
        <w:rPr>
          <w:rFonts w:ascii="Titillium" w:hAnsi="Titillium" w:cstheme="minorHAnsi"/>
          <w:sz w:val="20"/>
          <w:szCs w:val="20"/>
        </w:rPr>
        <w:t xml:space="preserve"> gli obblighi imposti a </w:t>
      </w:r>
      <w:r w:rsidR="00B61836">
        <w:rPr>
          <w:rFonts w:ascii="Titillium" w:hAnsi="Titillium" w:cstheme="minorHAnsi"/>
          <w:sz w:val="20"/>
          <w:szCs w:val="20"/>
        </w:rPr>
        <w:t>loro</w:t>
      </w:r>
      <w:r w:rsidR="001845CA" w:rsidRPr="001845CA">
        <w:rPr>
          <w:rFonts w:ascii="Titillium" w:hAnsi="Titillium" w:cstheme="minorHAnsi"/>
          <w:sz w:val="20"/>
          <w:szCs w:val="20"/>
        </w:rPr>
        <w:t xml:space="preserve"> carico e, comunque, pregiudichi</w:t>
      </w:r>
      <w:r w:rsidR="00B61836">
        <w:rPr>
          <w:rFonts w:ascii="Titillium" w:hAnsi="Titillium" w:cstheme="minorHAnsi"/>
          <w:sz w:val="20"/>
          <w:szCs w:val="20"/>
        </w:rPr>
        <w:t>no</w:t>
      </w:r>
      <w:r w:rsidR="001845CA" w:rsidRPr="001845CA">
        <w:rPr>
          <w:rFonts w:ascii="Titillium" w:hAnsi="Titillium" w:cstheme="minorHAnsi"/>
          <w:sz w:val="20"/>
          <w:szCs w:val="20"/>
        </w:rPr>
        <w:t xml:space="preserve"> l’assolvimento da parte dell</w:t>
      </w:r>
      <w:r w:rsidR="00B61836">
        <w:rPr>
          <w:rFonts w:ascii="Titillium" w:hAnsi="Titillium" w:cstheme="minorHAnsi"/>
          <w:sz w:val="20"/>
          <w:szCs w:val="20"/>
        </w:rPr>
        <w:t xml:space="preserve">o </w:t>
      </w:r>
      <w:proofErr w:type="spellStart"/>
      <w:r w:rsidR="00B61836">
        <w:rPr>
          <w:rFonts w:ascii="Titillium" w:hAnsi="Titillium" w:cstheme="minorHAnsi"/>
          <w:sz w:val="20"/>
          <w:szCs w:val="20"/>
        </w:rPr>
        <w:t>Spoke</w:t>
      </w:r>
      <w:proofErr w:type="spellEnd"/>
      <w:r w:rsidR="001845CA" w:rsidRPr="001845CA">
        <w:rPr>
          <w:rFonts w:ascii="Titillium" w:hAnsi="Titillium" w:cstheme="minorHAnsi"/>
          <w:sz w:val="20"/>
          <w:szCs w:val="20"/>
        </w:rPr>
        <w:t xml:space="preserve"> degli obblighi assunti </w:t>
      </w:r>
      <w:r w:rsidR="00B61836">
        <w:rPr>
          <w:rFonts w:ascii="Titillium" w:hAnsi="Titillium" w:cstheme="minorHAnsi"/>
          <w:sz w:val="20"/>
          <w:szCs w:val="20"/>
        </w:rPr>
        <w:t>verso l’Hub e il MUR</w:t>
      </w:r>
      <w:r w:rsidR="001845CA" w:rsidRPr="001845CA">
        <w:rPr>
          <w:rFonts w:ascii="Titillium" w:hAnsi="Titillium" w:cstheme="minorHAnsi"/>
          <w:sz w:val="20"/>
          <w:szCs w:val="20"/>
        </w:rPr>
        <w:t>.</w:t>
      </w:r>
    </w:p>
    <w:p w14:paraId="08F7AEF5" w14:textId="28A68F96" w:rsidR="001845CA" w:rsidRPr="001845CA" w:rsidRDefault="001845CA" w:rsidP="00A77813">
      <w:pPr>
        <w:tabs>
          <w:tab w:val="left" w:pos="0"/>
        </w:tabs>
        <w:spacing w:before="240"/>
        <w:ind w:left="-180" w:right="-1"/>
        <w:jc w:val="both"/>
        <w:rPr>
          <w:rFonts w:ascii="Titillium" w:hAnsi="Titillium" w:cstheme="minorHAnsi"/>
          <w:sz w:val="20"/>
          <w:szCs w:val="20"/>
        </w:rPr>
      </w:pPr>
      <w:r w:rsidRPr="001845CA">
        <w:rPr>
          <w:rFonts w:ascii="Titillium" w:hAnsi="Titillium" w:cstheme="minorHAnsi"/>
          <w:sz w:val="20"/>
          <w:szCs w:val="20"/>
        </w:rPr>
        <w:t xml:space="preserve">Inoltre, </w:t>
      </w:r>
      <w:r w:rsidR="00B61836">
        <w:rPr>
          <w:rFonts w:ascii="Titillium" w:hAnsi="Titillium" w:cstheme="minorHAnsi"/>
          <w:sz w:val="20"/>
          <w:szCs w:val="20"/>
        </w:rPr>
        <w:t>il</w:t>
      </w:r>
      <w:r w:rsidRPr="001845CA">
        <w:rPr>
          <w:rFonts w:ascii="Titillium" w:hAnsi="Titillium" w:cstheme="minorHAnsi"/>
          <w:sz w:val="20"/>
          <w:szCs w:val="20"/>
        </w:rPr>
        <w:t xml:space="preserve"> presente </w:t>
      </w:r>
      <w:r w:rsidR="00B61836">
        <w:rPr>
          <w:rFonts w:ascii="Titillium" w:hAnsi="Titillium" w:cstheme="minorHAnsi"/>
          <w:sz w:val="20"/>
          <w:szCs w:val="20"/>
        </w:rPr>
        <w:t>accordo</w:t>
      </w:r>
      <w:r w:rsidRPr="001845CA">
        <w:rPr>
          <w:rFonts w:ascii="Titillium" w:hAnsi="Titillium" w:cstheme="minorHAnsi"/>
          <w:sz w:val="20"/>
          <w:szCs w:val="20"/>
        </w:rPr>
        <w:t xml:space="preserve"> </w:t>
      </w:r>
      <w:r w:rsidR="00B61836" w:rsidRPr="001845CA">
        <w:rPr>
          <w:rFonts w:ascii="Titillium" w:hAnsi="Titillium" w:cstheme="minorHAnsi"/>
          <w:sz w:val="20"/>
          <w:szCs w:val="20"/>
        </w:rPr>
        <w:t>potrà essere risoluto</w:t>
      </w:r>
      <w:r w:rsidRPr="001845CA">
        <w:rPr>
          <w:rFonts w:ascii="Titillium" w:hAnsi="Titillium" w:cstheme="minorHAnsi"/>
          <w:sz w:val="20"/>
          <w:szCs w:val="20"/>
        </w:rPr>
        <w:t xml:space="preserve">, nel caso in cui si verifichi uno dei casi di revoca totale o parziale delle agevolazioni previste nell’art. </w:t>
      </w:r>
      <w:r w:rsidR="00B61836">
        <w:rPr>
          <w:rFonts w:ascii="Titillium" w:hAnsi="Titillium" w:cstheme="minorHAnsi"/>
          <w:sz w:val="20"/>
          <w:szCs w:val="20"/>
        </w:rPr>
        <w:t>5.4</w:t>
      </w:r>
      <w:r w:rsidRPr="001845CA">
        <w:rPr>
          <w:rFonts w:ascii="Titillium" w:hAnsi="Titillium" w:cstheme="minorHAnsi"/>
          <w:sz w:val="20"/>
          <w:szCs w:val="20"/>
        </w:rPr>
        <w:t xml:space="preserve"> dell’Avviso.</w:t>
      </w:r>
    </w:p>
    <w:p w14:paraId="20FF97A4" w14:textId="46C39071"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La risoluzione del</w:t>
      </w:r>
      <w:r w:rsidR="00B61836">
        <w:rPr>
          <w:rFonts w:ascii="Titillium" w:hAnsi="Titillium" w:cstheme="minorHAnsi"/>
          <w:sz w:val="20"/>
          <w:szCs w:val="20"/>
        </w:rPr>
        <w:t xml:space="preserve"> presente accordo </w:t>
      </w:r>
      <w:r w:rsidRPr="001845CA">
        <w:rPr>
          <w:rFonts w:ascii="Titillium" w:hAnsi="Titillium" w:cstheme="minorHAnsi"/>
          <w:sz w:val="20"/>
          <w:szCs w:val="20"/>
        </w:rPr>
        <w:t>comporta il disimpegno, totale o parziale, delle somme stanziate e il recupero, totale o parziale, di quelle erogate, fatte salve le somme dovute per le attività precedentemente approvate che siano riconosciute dal MUR.</w:t>
      </w:r>
    </w:p>
    <w:p w14:paraId="08692F9F" w14:textId="0707C9FF"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1</w:t>
      </w:r>
      <w:r w:rsidR="000C42A2">
        <w:rPr>
          <w:rFonts w:ascii="Titillium" w:hAnsi="Titillium"/>
          <w:sz w:val="20"/>
          <w:szCs w:val="20"/>
        </w:rPr>
        <w:t>7</w:t>
      </w:r>
      <w:r w:rsidRPr="001845CA">
        <w:rPr>
          <w:rFonts w:ascii="Titillium" w:hAnsi="Titillium"/>
          <w:sz w:val="20"/>
          <w:szCs w:val="20"/>
        </w:rPr>
        <w:t xml:space="preserve"> - Poteri sostitutivi</w:t>
      </w:r>
    </w:p>
    <w:p w14:paraId="46548D5A" w14:textId="45F4FE24" w:rsidR="001845CA" w:rsidRPr="001845CA" w:rsidRDefault="001845CA" w:rsidP="00A77813">
      <w:pPr>
        <w:tabs>
          <w:tab w:val="left" w:pos="0"/>
        </w:tabs>
        <w:spacing w:before="240"/>
        <w:ind w:left="-180"/>
        <w:jc w:val="both"/>
        <w:rPr>
          <w:rFonts w:ascii="Titillium" w:hAnsi="Titillium" w:cstheme="minorHAnsi"/>
          <w:sz w:val="20"/>
          <w:szCs w:val="20"/>
        </w:rPr>
      </w:pPr>
      <w:r w:rsidRPr="001845CA">
        <w:rPr>
          <w:rFonts w:ascii="Titillium" w:hAnsi="Titillium" w:cstheme="minorHAnsi"/>
          <w:sz w:val="20"/>
          <w:szCs w:val="20"/>
        </w:rPr>
        <w:t>In caso di mancato rispetto, da parte de</w:t>
      </w:r>
      <w:r w:rsidR="005979EE">
        <w:rPr>
          <w:rFonts w:ascii="Titillium" w:hAnsi="Titillium" w:cstheme="minorHAnsi"/>
          <w:sz w:val="20"/>
          <w:szCs w:val="20"/>
        </w:rPr>
        <w:t>i Beneficiari</w:t>
      </w:r>
      <w:r w:rsidRPr="001845CA">
        <w:rPr>
          <w:rFonts w:ascii="Titillium" w:hAnsi="Titillium" w:cstheme="minorHAnsi"/>
          <w:sz w:val="20"/>
          <w:szCs w:val="20"/>
        </w:rPr>
        <w:t xml:space="preserve">, degli obblighi e impegni finalizzati alla realizzazione delle attività progettuali di </w:t>
      </w:r>
      <w:r w:rsidR="005979EE">
        <w:rPr>
          <w:rFonts w:ascii="Titillium" w:hAnsi="Titillium" w:cstheme="minorHAnsi"/>
          <w:sz w:val="20"/>
          <w:szCs w:val="20"/>
        </w:rPr>
        <w:t>loro</w:t>
      </w:r>
      <w:r w:rsidRPr="001845CA">
        <w:rPr>
          <w:rFonts w:ascii="Titillium" w:hAnsi="Titillium" w:cstheme="minorHAnsi"/>
          <w:sz w:val="20"/>
          <w:szCs w:val="20"/>
        </w:rPr>
        <w:t xml:space="preserve"> competenza, l</w:t>
      </w:r>
      <w:r w:rsidR="00B61836">
        <w:rPr>
          <w:rFonts w:ascii="Titillium" w:hAnsi="Titillium" w:cstheme="minorHAnsi"/>
          <w:sz w:val="20"/>
          <w:szCs w:val="20"/>
        </w:rPr>
        <w:t xml:space="preserve">o </w:t>
      </w:r>
      <w:proofErr w:type="spellStart"/>
      <w:r w:rsidR="00B61836">
        <w:rPr>
          <w:rFonts w:ascii="Titillium" w:hAnsi="Titillium" w:cstheme="minorHAnsi"/>
          <w:sz w:val="20"/>
          <w:szCs w:val="20"/>
        </w:rPr>
        <w:t>Spoke</w:t>
      </w:r>
      <w:proofErr w:type="spellEnd"/>
      <w:r w:rsidR="00B61836">
        <w:rPr>
          <w:rFonts w:ascii="Titillium" w:hAnsi="Titillium" w:cstheme="minorHAnsi"/>
          <w:sz w:val="20"/>
          <w:szCs w:val="20"/>
        </w:rPr>
        <w:t xml:space="preserve"> </w:t>
      </w:r>
      <w:r w:rsidRPr="001845CA">
        <w:rPr>
          <w:rFonts w:ascii="Titillium" w:hAnsi="Titillium" w:cstheme="minorHAnsi"/>
          <w:sz w:val="20"/>
          <w:szCs w:val="20"/>
        </w:rPr>
        <w:t xml:space="preserve">eserciterà i poteri sostitutivi, assumendo in proprio l’esecuzione delle attività progettuali non realizzate ovvero affidandone la realizzazione e il relativo budget ad uno degli altri </w:t>
      </w:r>
      <w:r w:rsidR="00B61836">
        <w:rPr>
          <w:rFonts w:ascii="Titillium" w:hAnsi="Titillium" w:cstheme="minorHAnsi"/>
          <w:sz w:val="20"/>
          <w:szCs w:val="20"/>
        </w:rPr>
        <w:t>Beneficiari</w:t>
      </w:r>
      <w:r w:rsidRPr="001845CA">
        <w:rPr>
          <w:rFonts w:ascii="Titillium" w:hAnsi="Titillium" w:cstheme="minorHAnsi"/>
          <w:sz w:val="20"/>
          <w:szCs w:val="20"/>
        </w:rPr>
        <w:t>.</w:t>
      </w:r>
    </w:p>
    <w:p w14:paraId="34BF7E14" w14:textId="4504F1C5"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1</w:t>
      </w:r>
      <w:r w:rsidR="000C42A2">
        <w:rPr>
          <w:rFonts w:ascii="Titillium" w:hAnsi="Titillium" w:cstheme="minorHAnsi"/>
          <w:b/>
          <w:sz w:val="20"/>
          <w:szCs w:val="20"/>
        </w:rPr>
        <w:t>8</w:t>
      </w:r>
      <w:r w:rsidRPr="001845CA">
        <w:rPr>
          <w:rFonts w:ascii="Titillium" w:hAnsi="Titillium" w:cstheme="minorHAnsi"/>
          <w:b/>
          <w:sz w:val="20"/>
          <w:szCs w:val="20"/>
        </w:rPr>
        <w:t xml:space="preserve"> - Riservatezza</w:t>
      </w:r>
    </w:p>
    <w:p w14:paraId="31548A93" w14:textId="18A9DA36"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Con la sottoscrizione del presente </w:t>
      </w:r>
      <w:r w:rsidR="00CC5A7C">
        <w:rPr>
          <w:rFonts w:ascii="Titillium" w:hAnsi="Titillium" w:cstheme="minorHAnsi"/>
          <w:sz w:val="20"/>
          <w:szCs w:val="20"/>
        </w:rPr>
        <w:t>a</w:t>
      </w:r>
      <w:r w:rsidR="00B61836">
        <w:rPr>
          <w:rFonts w:ascii="Titillium" w:hAnsi="Titillium" w:cstheme="minorHAnsi"/>
          <w:sz w:val="20"/>
          <w:szCs w:val="20"/>
        </w:rPr>
        <w:t>ccordo</w:t>
      </w:r>
      <w:r w:rsidRPr="001845CA">
        <w:rPr>
          <w:rFonts w:ascii="Titillium" w:hAnsi="Titillium" w:cstheme="minorHAnsi"/>
          <w:sz w:val="20"/>
          <w:szCs w:val="20"/>
        </w:rPr>
        <w:t xml:space="preserve">, le Parti si impegnano espressamente, per sé e per i propri dipendenti e/o collaboratori (con ciò promettendo anche il fatto del terzo ai sensi e per gli effetti dell’art. 1381 cod. civ.): </w:t>
      </w:r>
    </w:p>
    <w:p w14:paraId="135503EB"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(a) a non divulgare le Informazioni Riservate e a non renderle in alcun modo accessibili a Soggetti Terzi;</w:t>
      </w:r>
    </w:p>
    <w:p w14:paraId="3F841208"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(b) ad impiegare ogni mezzo idoneo, e a </w:t>
      </w:r>
      <w:proofErr w:type="gramStart"/>
      <w:r w:rsidRPr="001845CA">
        <w:rPr>
          <w:rFonts w:ascii="Titillium" w:hAnsi="Titillium" w:cstheme="minorHAnsi"/>
          <w:sz w:val="20"/>
          <w:szCs w:val="20"/>
        </w:rPr>
        <w:t>porre in essere</w:t>
      </w:r>
      <w:proofErr w:type="gramEnd"/>
      <w:r w:rsidRPr="001845CA">
        <w:rPr>
          <w:rFonts w:ascii="Titillium" w:hAnsi="Titillium" w:cstheme="minorHAnsi"/>
          <w:sz w:val="20"/>
          <w:szCs w:val="20"/>
        </w:rPr>
        <w:t xml:space="preserve"> ogni e qualsiasi atto o attività ragionevolmente necessari, al fine di garantire che le Informazioni Riservate non siano liberamente accessibili a Soggetti Terzi;</w:t>
      </w:r>
    </w:p>
    <w:p w14:paraId="48B49792" w14:textId="719B2D0D"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(c) a non utilizzare in alcun modo le Informazioni Riservate per finalità diverse e ulteriori rispetto a quelle connesse con l’esecuzione del presente </w:t>
      </w:r>
      <w:r w:rsidR="00CC5A7C">
        <w:rPr>
          <w:rFonts w:ascii="Titillium" w:hAnsi="Titillium" w:cstheme="minorHAnsi"/>
          <w:sz w:val="20"/>
          <w:szCs w:val="20"/>
        </w:rPr>
        <w:t>a</w:t>
      </w:r>
      <w:r w:rsidR="00B61836">
        <w:rPr>
          <w:rFonts w:ascii="Titillium" w:hAnsi="Titillium" w:cstheme="minorHAnsi"/>
          <w:sz w:val="20"/>
          <w:szCs w:val="20"/>
        </w:rPr>
        <w:t>ccordo</w:t>
      </w:r>
      <w:r w:rsidRPr="001845CA">
        <w:rPr>
          <w:rFonts w:ascii="Titillium" w:hAnsi="Titillium" w:cstheme="minorHAnsi"/>
          <w:sz w:val="20"/>
          <w:szCs w:val="20"/>
        </w:rPr>
        <w:t>;</w:t>
      </w:r>
    </w:p>
    <w:p w14:paraId="53278DA3" w14:textId="7C04472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lastRenderedPageBreak/>
        <w:t xml:space="preserve">(d) a non duplicare, copiare, riprodurre, registrare o diversamente rappresentare, salve le necessità che discendano dall’esecuzione del presente </w:t>
      </w:r>
      <w:r w:rsidR="00CC5A7C">
        <w:rPr>
          <w:rFonts w:ascii="Titillium" w:hAnsi="Titillium" w:cstheme="minorHAnsi"/>
          <w:sz w:val="20"/>
          <w:szCs w:val="20"/>
        </w:rPr>
        <w:t>a</w:t>
      </w:r>
      <w:r w:rsidR="00B61836">
        <w:rPr>
          <w:rFonts w:ascii="Titillium" w:hAnsi="Titillium" w:cstheme="minorHAnsi"/>
          <w:sz w:val="20"/>
          <w:szCs w:val="20"/>
        </w:rPr>
        <w:t>ccordo</w:t>
      </w:r>
      <w:r w:rsidRPr="001845CA">
        <w:rPr>
          <w:rFonts w:ascii="Titillium" w:hAnsi="Titillium" w:cstheme="minorHAnsi"/>
          <w:sz w:val="20"/>
          <w:szCs w:val="20"/>
        </w:rPr>
        <w:t>, o salvo consenso espresso della Parte che ne abbia diritto, con ogni e qualunque mezzo a tali fini idoneo, in tutto o in parte, file, atti, documenti, elenchi, registri, rapporti, note, disegni, schemi, schede, corrispondenza e ogni altro materiale contenente una o più Informazioni Riservate;</w:t>
      </w:r>
    </w:p>
    <w:p w14:paraId="2F7178A3"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(e) a restituire o distruggere immediatamente,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14:paraId="2F2DD790" w14:textId="3AE78692"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(f) a restituire o distruggere immediatamente, al termine o alla risoluzione del presente </w:t>
      </w:r>
      <w:r w:rsidR="00CC5A7C">
        <w:rPr>
          <w:rFonts w:ascii="Titillium" w:hAnsi="Titillium" w:cstheme="minorHAnsi"/>
          <w:sz w:val="20"/>
          <w:szCs w:val="20"/>
        </w:rPr>
        <w:t>a</w:t>
      </w:r>
      <w:r w:rsidR="00B61836">
        <w:rPr>
          <w:rFonts w:ascii="Titillium" w:hAnsi="Titillium" w:cstheme="minorHAnsi"/>
          <w:sz w:val="20"/>
          <w:szCs w:val="20"/>
        </w:rPr>
        <w:t>ccordo</w:t>
      </w:r>
      <w:r w:rsidRPr="001845CA">
        <w:rPr>
          <w:rFonts w:ascii="Titillium" w:hAnsi="Titillium" w:cstheme="minorHAnsi"/>
          <w:sz w:val="20"/>
          <w:szCs w:val="20"/>
        </w:rPr>
        <w:t>,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14:paraId="0CB37AB2"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Sono fatte salve, rispetto a quanto disposto nel paragrafo precedente:</w:t>
      </w:r>
    </w:p>
    <w:p w14:paraId="5C76A7CC"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(a) le informazioni, i dati e le conoscenze comunicati da una Parte all’altra che siano espressamente destinati dalle Parti alla pubblicazione o comunque alla diffusione tra il pubblico;</w:t>
      </w:r>
    </w:p>
    <w:p w14:paraId="4F103299"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(b) le informazioni, i dati e le conoscenze comunicati da una Parte all’altra che siano già di pubblico dominio o siano comunque già liberamente accessibili da parte di Soggetti Terzi;</w:t>
      </w:r>
    </w:p>
    <w:p w14:paraId="3B71EA3B"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(c) le informazioni, i dati e le conoscenze che, in qualunque momento, divengono di pubblico dominio o comunque liberamente accessibili da parte di Soggetti Terzi, a condizione che la loro divulgazione o la loro accessibilità non siano causati da fatto illecito o non siano stati comunque espressamente vietati dalla Parte che li abbia comunicati, e a partire dal momento in cui esse divengono effettivamente di pubblico dominio o liberamente accessibili;</w:t>
      </w:r>
    </w:p>
    <w:p w14:paraId="1C339A53"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(d) le informazioni, i dati e le conoscenze in relazione ai quali la Parte che ne abbia diritto fornisca il consenso scritto alla loro diffusione o alla loro libera accessibilità e solo nei limiti, nei termini e alle condizioni a cui tale consenso viene effettivamente prestato;</w:t>
      </w:r>
    </w:p>
    <w:p w14:paraId="02B4212C"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(e) le informazioni, i dati e le conoscenze che una Parte possa dimostrare di essere state in suo legittimo possesso in un momento antecedente a quello in cui gli sono state comunicate dall’altra Parte o in cui essa ne sia venuta comunque a conoscenza nel corso ed in virtù del rapporto di collaborazione;</w:t>
      </w:r>
    </w:p>
    <w:p w14:paraId="53693F3E"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(f) le informazioni che una Parte possa dimostrare essere in suo legittimo possesso indipendentemente dal rapporto di collaborazione;</w:t>
      </w:r>
    </w:p>
    <w:p w14:paraId="07AC1874"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(g) le informazioni che una Parte sia tenuta a comunicare o a rendere accessibili in adempimento di norme di legge o regolamento nonché di un ordine impartito dalla pubblica Autorità, nei limiti, nei termini, nelle forme e in relazione ai soli destinatari cui la Parte stessa sia effettivamente tenuta a comunicarle o a renderle accessibili.</w:t>
      </w:r>
    </w:p>
    <w:p w14:paraId="7032C5F9"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Ai fini dell’applicazione del presente articolo, per Soggetti Terzi devono intendersi tutti i soggetti diversi dalle Parti che non siano rappresentanti, dipendenti, collaboratori o consulenti delle Parti stesse. Devono comunque considerarsi Soggetti Terzi, in relazione alle singole Informazioni Riservate che vengano di volta in volta in rilievo, anche i soggetti sopra indicati nei casi in cui essi, per la natura del rapporto che li lega alle Parti, non abbiano ragione o necessità di conoscere una o più Informazioni Riservate o nel caso in cui la Parte che ne abbia diritto abbia espressamente vietato la comunicazione di Informazioni Riservate al loro indirizzo.</w:t>
      </w:r>
    </w:p>
    <w:p w14:paraId="66E1C542" w14:textId="6930E4DF"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lastRenderedPageBreak/>
        <w:t xml:space="preserve">Il presente articolo rimarrà in vigore tra le Parti anche dopo la conclusione del </w:t>
      </w:r>
      <w:r w:rsidR="009819BA">
        <w:rPr>
          <w:rFonts w:ascii="Titillium" w:hAnsi="Titillium" w:cstheme="minorHAnsi"/>
          <w:sz w:val="20"/>
          <w:szCs w:val="20"/>
        </w:rPr>
        <w:t>p</w:t>
      </w:r>
      <w:r w:rsidRPr="001845CA">
        <w:rPr>
          <w:rFonts w:ascii="Titillium" w:hAnsi="Titillium" w:cstheme="minorHAnsi"/>
          <w:sz w:val="20"/>
          <w:szCs w:val="20"/>
        </w:rPr>
        <w:t xml:space="preserve">rogetto e per un termine pari a </w:t>
      </w:r>
      <w:proofErr w:type="gramStart"/>
      <w:r w:rsidRPr="001845CA">
        <w:rPr>
          <w:rFonts w:ascii="Titillium" w:hAnsi="Titillium" w:cstheme="minorHAnsi"/>
          <w:sz w:val="20"/>
          <w:szCs w:val="20"/>
        </w:rPr>
        <w:t>5</w:t>
      </w:r>
      <w:proofErr w:type="gramEnd"/>
      <w:r w:rsidRPr="001845CA">
        <w:rPr>
          <w:rFonts w:ascii="Titillium" w:hAnsi="Titillium" w:cstheme="minorHAnsi"/>
          <w:sz w:val="20"/>
          <w:szCs w:val="20"/>
        </w:rPr>
        <w:t xml:space="preserve"> anni o, comunque, maggior termine, se richiesto dal MUR. </w:t>
      </w:r>
    </w:p>
    <w:p w14:paraId="7E597314" w14:textId="64B110BA"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 xml:space="preserve">Art. </w:t>
      </w:r>
      <w:r w:rsidR="000C42A2">
        <w:rPr>
          <w:rFonts w:ascii="Titillium" w:hAnsi="Titillium" w:cstheme="minorHAnsi"/>
          <w:b/>
          <w:sz w:val="20"/>
          <w:szCs w:val="20"/>
        </w:rPr>
        <w:t>19</w:t>
      </w:r>
      <w:r w:rsidRPr="001845CA">
        <w:rPr>
          <w:rFonts w:ascii="Titillium" w:hAnsi="Titillium" w:cstheme="minorHAnsi"/>
          <w:b/>
          <w:sz w:val="20"/>
          <w:szCs w:val="20"/>
        </w:rPr>
        <w:t xml:space="preserve"> - Trattamento dei dati personali</w:t>
      </w:r>
    </w:p>
    <w:p w14:paraId="48A0BB01" w14:textId="00C6B82E"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Ai sensi di quanto previsto dal Regolamento Europeo in materia di protezione dei dati personali 2016/679 e dal D. Lgs. n. 101 del 2018 in tema di trattamento di dati personali, le Parti dichiarano di essersi preventivamente e reciprocamente informate, prima della sottoscrizione del presente </w:t>
      </w:r>
      <w:r w:rsidR="00CC5A7C">
        <w:rPr>
          <w:rFonts w:ascii="Titillium" w:hAnsi="Titillium" w:cstheme="minorHAnsi"/>
          <w:sz w:val="20"/>
          <w:szCs w:val="20"/>
        </w:rPr>
        <w:t>a</w:t>
      </w:r>
      <w:r w:rsidR="00B61836">
        <w:rPr>
          <w:rFonts w:ascii="Titillium" w:hAnsi="Titillium" w:cstheme="minorHAnsi"/>
          <w:sz w:val="20"/>
          <w:szCs w:val="20"/>
        </w:rPr>
        <w:t>ccordo</w:t>
      </w:r>
      <w:r w:rsidRPr="001845CA">
        <w:rPr>
          <w:rFonts w:ascii="Titillium" w:hAnsi="Titillium" w:cstheme="minorHAnsi"/>
          <w:sz w:val="20"/>
          <w:szCs w:val="20"/>
        </w:rPr>
        <w:t xml:space="preserve"> e, circa le modalità e le finalità dei trattamenti di dati personali strettamente necessari all’esecuzione del</w:t>
      </w:r>
      <w:r w:rsidR="00CC5A7C">
        <w:rPr>
          <w:rFonts w:ascii="Titillium" w:hAnsi="Titillium" w:cstheme="minorHAnsi"/>
          <w:sz w:val="20"/>
          <w:szCs w:val="20"/>
        </w:rPr>
        <w:t>l’a</w:t>
      </w:r>
      <w:r w:rsidR="00B61836">
        <w:rPr>
          <w:rFonts w:ascii="Titillium" w:hAnsi="Titillium" w:cstheme="minorHAnsi"/>
          <w:sz w:val="20"/>
          <w:szCs w:val="20"/>
        </w:rPr>
        <w:t>ccordo</w:t>
      </w:r>
      <w:r w:rsidRPr="001845CA">
        <w:rPr>
          <w:rFonts w:ascii="Titillium" w:hAnsi="Titillium" w:cstheme="minorHAnsi"/>
          <w:sz w:val="20"/>
          <w:szCs w:val="20"/>
        </w:rPr>
        <w:t xml:space="preserve">. </w:t>
      </w:r>
    </w:p>
    <w:p w14:paraId="5932EF33" w14:textId="70AF94FE"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Qualora, dall’esecuzione delle attività progettuali dal presente </w:t>
      </w:r>
      <w:r w:rsidR="00CC5A7C">
        <w:rPr>
          <w:rFonts w:ascii="Titillium" w:hAnsi="Titillium" w:cstheme="minorHAnsi"/>
          <w:sz w:val="20"/>
          <w:szCs w:val="20"/>
        </w:rPr>
        <w:t>a</w:t>
      </w:r>
      <w:r w:rsidR="00B61836">
        <w:rPr>
          <w:rFonts w:ascii="Titillium" w:hAnsi="Titillium" w:cstheme="minorHAnsi"/>
          <w:sz w:val="20"/>
          <w:szCs w:val="20"/>
        </w:rPr>
        <w:t>ccordo</w:t>
      </w:r>
      <w:r w:rsidRPr="001845CA">
        <w:rPr>
          <w:rFonts w:ascii="Titillium" w:hAnsi="Titillium" w:cstheme="minorHAnsi"/>
          <w:sz w:val="20"/>
          <w:szCs w:val="20"/>
        </w:rPr>
        <w:t xml:space="preserve"> derivi un trattamento di dati personali, le parti si impegnano:</w:t>
      </w:r>
    </w:p>
    <w:p w14:paraId="120F6F91" w14:textId="77777777" w:rsidR="001845CA" w:rsidRPr="001845CA" w:rsidRDefault="001845CA" w:rsidP="00A77813">
      <w:pPr>
        <w:tabs>
          <w:tab w:val="left" w:pos="567"/>
        </w:tabs>
        <w:spacing w:before="240" w:after="120"/>
        <w:ind w:left="-180" w:hanging="567"/>
        <w:jc w:val="both"/>
        <w:rPr>
          <w:rFonts w:ascii="Titillium" w:hAnsi="Titillium" w:cstheme="minorHAnsi"/>
          <w:sz w:val="20"/>
          <w:szCs w:val="20"/>
        </w:rPr>
      </w:pPr>
      <w:r w:rsidRPr="001845CA">
        <w:rPr>
          <w:rFonts w:ascii="Titillium" w:hAnsi="Titillium" w:cstheme="minorHAnsi"/>
          <w:sz w:val="20"/>
          <w:szCs w:val="20"/>
        </w:rPr>
        <w:t>a)</w:t>
      </w:r>
      <w:r w:rsidRPr="001845CA">
        <w:rPr>
          <w:rFonts w:ascii="Titillium" w:hAnsi="Titillium" w:cstheme="minorHAnsi"/>
          <w:sz w:val="20"/>
          <w:szCs w:val="20"/>
        </w:rPr>
        <w:tab/>
        <w:t>a operare nel pieno rispetto della normativa vigente in materia di protezione dei dati personali;</w:t>
      </w:r>
    </w:p>
    <w:p w14:paraId="7537C0B3" w14:textId="29BEDBD6" w:rsidR="001845CA" w:rsidRPr="001845CA" w:rsidRDefault="001845CA" w:rsidP="00A77813">
      <w:pPr>
        <w:tabs>
          <w:tab w:val="left" w:pos="567"/>
        </w:tabs>
        <w:spacing w:before="240" w:after="120"/>
        <w:ind w:left="-180" w:hanging="567"/>
        <w:jc w:val="both"/>
        <w:rPr>
          <w:rFonts w:ascii="Titillium" w:hAnsi="Titillium" w:cstheme="minorHAnsi"/>
          <w:sz w:val="20"/>
          <w:szCs w:val="20"/>
        </w:rPr>
      </w:pPr>
      <w:r w:rsidRPr="001845CA">
        <w:rPr>
          <w:rFonts w:ascii="Titillium" w:hAnsi="Titillium" w:cstheme="minorHAnsi"/>
          <w:sz w:val="20"/>
          <w:szCs w:val="20"/>
        </w:rPr>
        <w:t>b)</w:t>
      </w:r>
      <w:r w:rsidRPr="001845CA">
        <w:rPr>
          <w:rFonts w:ascii="Titillium" w:hAnsi="Titillium" w:cstheme="minorHAnsi"/>
          <w:sz w:val="20"/>
          <w:szCs w:val="20"/>
        </w:rPr>
        <w:tab/>
        <w:t xml:space="preserve">a disciplinare, in modo specifico e in ciascun accordo attuativo, gli eventuali adempimenti e ambiti di responsabilità derivanti dalla normativa vigente in materia di protezione dei dati personali, riportando, tra le altre informazioni, l’identità di coloro che, rispettando in concreto quanto previsto dalla normativa vigente e tenuto conto delle caratteristiche e peculiarità dello specifico </w:t>
      </w:r>
      <w:r w:rsidR="009819BA">
        <w:rPr>
          <w:rFonts w:ascii="Titillium" w:hAnsi="Titillium" w:cstheme="minorHAnsi"/>
          <w:sz w:val="20"/>
          <w:szCs w:val="20"/>
        </w:rPr>
        <w:t>p</w:t>
      </w:r>
      <w:r w:rsidRPr="001845CA">
        <w:rPr>
          <w:rFonts w:ascii="Titillium" w:hAnsi="Titillium" w:cstheme="minorHAnsi"/>
          <w:sz w:val="20"/>
          <w:szCs w:val="20"/>
        </w:rPr>
        <w:t>rogetto, risulteranno essere "Titolari" autonomi o "Contitolari" e/o Responsabili del trattamento;</w:t>
      </w:r>
    </w:p>
    <w:p w14:paraId="76E8879D" w14:textId="77777777" w:rsidR="001845CA" w:rsidRPr="001845CA" w:rsidRDefault="001845CA" w:rsidP="00A77813">
      <w:pPr>
        <w:tabs>
          <w:tab w:val="left" w:pos="567"/>
        </w:tabs>
        <w:spacing w:before="240" w:after="120"/>
        <w:ind w:left="-180" w:hanging="567"/>
        <w:jc w:val="both"/>
        <w:rPr>
          <w:rFonts w:ascii="Titillium" w:hAnsi="Titillium" w:cstheme="minorHAnsi"/>
          <w:sz w:val="20"/>
          <w:szCs w:val="20"/>
        </w:rPr>
      </w:pPr>
      <w:r w:rsidRPr="001845CA">
        <w:rPr>
          <w:rFonts w:ascii="Titillium" w:hAnsi="Titillium" w:cstheme="minorHAnsi"/>
          <w:sz w:val="20"/>
          <w:szCs w:val="20"/>
        </w:rPr>
        <w:t>c)</w:t>
      </w:r>
      <w:r w:rsidRPr="001845CA">
        <w:rPr>
          <w:rFonts w:ascii="Titillium" w:hAnsi="Titillium" w:cstheme="minorHAnsi"/>
          <w:sz w:val="20"/>
          <w:szCs w:val="20"/>
        </w:rPr>
        <w:tab/>
      </w:r>
      <w:proofErr w:type="gramStart"/>
      <w:r w:rsidRPr="001845CA">
        <w:rPr>
          <w:rFonts w:ascii="Titillium" w:hAnsi="Titillium" w:cstheme="minorHAnsi"/>
          <w:sz w:val="20"/>
          <w:szCs w:val="20"/>
        </w:rPr>
        <w:t>ad</w:t>
      </w:r>
      <w:proofErr w:type="gramEnd"/>
      <w:r w:rsidRPr="001845CA">
        <w:rPr>
          <w:rFonts w:ascii="Titillium" w:hAnsi="Titillium" w:cstheme="minorHAnsi"/>
          <w:sz w:val="20"/>
          <w:szCs w:val="20"/>
        </w:rPr>
        <w:t xml:space="preserve"> adottare adeguate misure di sicurezza - sia tecniche sia organizzative - per proteggere i dati di cui risultino essere Titolari o Contitolari, anche al fine di ridurre al minimo i rischi di distruzione o perdita, anche accidentale, dei dati stessi, di accesso non autorizzato o di trattamento non consentito o non conforme alle finalità della raccolta;</w:t>
      </w:r>
    </w:p>
    <w:p w14:paraId="51A78426" w14:textId="0943A6BE" w:rsidR="001845CA" w:rsidRPr="001845CA" w:rsidRDefault="001845CA" w:rsidP="00A77813">
      <w:pPr>
        <w:tabs>
          <w:tab w:val="left" w:pos="567"/>
        </w:tabs>
        <w:spacing w:before="240" w:after="120"/>
        <w:ind w:left="-180" w:hanging="567"/>
        <w:jc w:val="both"/>
        <w:rPr>
          <w:rFonts w:ascii="Titillium" w:hAnsi="Titillium" w:cstheme="minorHAnsi"/>
          <w:sz w:val="20"/>
          <w:szCs w:val="20"/>
        </w:rPr>
      </w:pPr>
      <w:r w:rsidRPr="001845CA">
        <w:rPr>
          <w:rFonts w:ascii="Titillium" w:hAnsi="Titillium" w:cstheme="minorHAnsi"/>
          <w:sz w:val="20"/>
          <w:szCs w:val="20"/>
        </w:rPr>
        <w:t>d)</w:t>
      </w:r>
      <w:r w:rsidRPr="001845CA">
        <w:rPr>
          <w:rFonts w:ascii="Titillium" w:hAnsi="Titillium" w:cstheme="minorHAnsi"/>
          <w:sz w:val="20"/>
          <w:szCs w:val="20"/>
        </w:rPr>
        <w:tab/>
        <w:t>a trattare i dati personali unicamente per le finalità connesse all’esecuzione del</w:t>
      </w:r>
      <w:r w:rsidR="00B61836">
        <w:rPr>
          <w:rFonts w:ascii="Titillium" w:hAnsi="Titillium" w:cstheme="minorHAnsi"/>
          <w:sz w:val="20"/>
          <w:szCs w:val="20"/>
        </w:rPr>
        <w:t xml:space="preserve"> </w:t>
      </w:r>
      <w:r w:rsidRPr="001845CA">
        <w:rPr>
          <w:rFonts w:ascii="Titillium" w:hAnsi="Titillium" w:cstheme="minorHAnsi"/>
          <w:sz w:val="20"/>
          <w:szCs w:val="20"/>
        </w:rPr>
        <w:t xml:space="preserve">presente </w:t>
      </w:r>
      <w:r w:rsidR="00B61836">
        <w:rPr>
          <w:rFonts w:ascii="Titillium" w:hAnsi="Titillium" w:cstheme="minorHAnsi"/>
          <w:sz w:val="20"/>
          <w:szCs w:val="20"/>
        </w:rPr>
        <w:t>accordo</w:t>
      </w:r>
      <w:r w:rsidRPr="001845CA">
        <w:rPr>
          <w:rFonts w:ascii="Titillium" w:hAnsi="Titillium" w:cstheme="minorHAnsi"/>
          <w:sz w:val="20"/>
          <w:szCs w:val="20"/>
        </w:rPr>
        <w:t>.</w:t>
      </w:r>
    </w:p>
    <w:p w14:paraId="22859839" w14:textId="3E9D5703" w:rsidR="001845CA" w:rsidRPr="001845CA" w:rsidRDefault="001845CA" w:rsidP="00A77813">
      <w:pPr>
        <w:pStyle w:val="Titolo1"/>
        <w:spacing w:after="240" w:line="240" w:lineRule="auto"/>
        <w:ind w:left="-180"/>
        <w:rPr>
          <w:rFonts w:ascii="Titillium" w:hAnsi="Titillium"/>
          <w:sz w:val="20"/>
          <w:szCs w:val="20"/>
        </w:rPr>
      </w:pPr>
      <w:r w:rsidRPr="001845CA">
        <w:rPr>
          <w:rFonts w:ascii="Titillium" w:hAnsi="Titillium"/>
          <w:sz w:val="20"/>
          <w:szCs w:val="20"/>
        </w:rPr>
        <w:t>Art. 2</w:t>
      </w:r>
      <w:r w:rsidR="000C42A2">
        <w:rPr>
          <w:rFonts w:ascii="Titillium" w:hAnsi="Titillium"/>
          <w:sz w:val="20"/>
          <w:szCs w:val="20"/>
        </w:rPr>
        <w:t>0</w:t>
      </w:r>
      <w:r w:rsidRPr="001845CA">
        <w:rPr>
          <w:rFonts w:ascii="Titillium" w:hAnsi="Titillium"/>
          <w:sz w:val="20"/>
          <w:szCs w:val="20"/>
        </w:rPr>
        <w:t xml:space="preserve"> - </w:t>
      </w:r>
      <w:proofErr w:type="spellStart"/>
      <w:r w:rsidRPr="001845CA">
        <w:rPr>
          <w:rFonts w:ascii="Titillium" w:hAnsi="Titillium"/>
          <w:sz w:val="20"/>
          <w:szCs w:val="20"/>
        </w:rPr>
        <w:t>D.Lgs.</w:t>
      </w:r>
      <w:proofErr w:type="spellEnd"/>
      <w:r w:rsidRPr="001845CA">
        <w:rPr>
          <w:rFonts w:ascii="Titillium" w:hAnsi="Titillium"/>
          <w:sz w:val="20"/>
          <w:szCs w:val="20"/>
        </w:rPr>
        <w:t xml:space="preserve"> n. 231/2001 e Normativa Anticorruzione</w:t>
      </w:r>
    </w:p>
    <w:p w14:paraId="7A2D8431" w14:textId="13E6A3A1" w:rsidR="001845CA" w:rsidRPr="001845CA" w:rsidRDefault="001845CA" w:rsidP="00A77813">
      <w:pPr>
        <w:tabs>
          <w:tab w:val="left" w:pos="0"/>
        </w:tabs>
        <w:ind w:left="-180"/>
        <w:jc w:val="both"/>
        <w:rPr>
          <w:rFonts w:ascii="Titillium" w:hAnsi="Titillium" w:cstheme="minorHAnsi"/>
          <w:sz w:val="20"/>
          <w:szCs w:val="20"/>
        </w:rPr>
      </w:pPr>
      <w:r w:rsidRPr="001845CA">
        <w:rPr>
          <w:rFonts w:ascii="Titillium" w:hAnsi="Titillium" w:cstheme="minorHAnsi"/>
          <w:sz w:val="20"/>
          <w:szCs w:val="20"/>
        </w:rPr>
        <w:t xml:space="preserve">Le parti dichiarano di essere a conoscenza della responsabilità amministrativa aziendale e, in particolare, delle disposizioni del Decreto Legislativo dell’8 giugno 2001, n. 231 e si impegnano, ai fini dell’esecuzione di questo </w:t>
      </w:r>
      <w:r w:rsidR="00CC5A7C">
        <w:rPr>
          <w:rFonts w:ascii="Titillium" w:hAnsi="Titillium" w:cstheme="minorHAnsi"/>
          <w:sz w:val="20"/>
          <w:szCs w:val="20"/>
        </w:rPr>
        <w:t>accordo</w:t>
      </w:r>
      <w:r w:rsidRPr="001845CA">
        <w:rPr>
          <w:rFonts w:ascii="Titillium" w:hAnsi="Titillium" w:cstheme="minorHAnsi"/>
          <w:sz w:val="20"/>
          <w:szCs w:val="20"/>
        </w:rPr>
        <w:t xml:space="preserve">, a non comportarsi, agire né fare omissioni e a non intraprendere azioni suscettibili di costituire un reato per cui si applica la sanzione prevista dal </w:t>
      </w:r>
      <w:proofErr w:type="spellStart"/>
      <w:r w:rsidRPr="001845CA">
        <w:rPr>
          <w:rFonts w:ascii="Titillium" w:hAnsi="Titillium" w:cstheme="minorHAnsi"/>
          <w:sz w:val="20"/>
          <w:szCs w:val="20"/>
        </w:rPr>
        <w:t>D.Lgs.</w:t>
      </w:r>
      <w:proofErr w:type="spellEnd"/>
      <w:r w:rsidRPr="001845CA">
        <w:rPr>
          <w:rFonts w:ascii="Titillium" w:hAnsi="Titillium" w:cstheme="minorHAnsi"/>
          <w:sz w:val="20"/>
          <w:szCs w:val="20"/>
        </w:rPr>
        <w:t xml:space="preserve"> dell’8 giugno 2011, n. 231.</w:t>
      </w:r>
    </w:p>
    <w:p w14:paraId="3F354290" w14:textId="77777777" w:rsidR="001845CA" w:rsidRPr="001845CA" w:rsidRDefault="001845CA" w:rsidP="00A77813">
      <w:pPr>
        <w:tabs>
          <w:tab w:val="left" w:pos="0"/>
        </w:tabs>
        <w:ind w:left="-180"/>
        <w:jc w:val="both"/>
        <w:rPr>
          <w:rFonts w:ascii="Titillium" w:hAnsi="Titillium" w:cstheme="minorHAnsi"/>
          <w:sz w:val="20"/>
          <w:szCs w:val="20"/>
        </w:rPr>
      </w:pPr>
      <w:r w:rsidRPr="001845CA">
        <w:rPr>
          <w:rFonts w:ascii="Titillium" w:hAnsi="Titillium" w:cstheme="minorHAnsi"/>
          <w:sz w:val="20"/>
          <w:szCs w:val="20"/>
        </w:rPr>
        <w:t>Le parti, inoltre:</w:t>
      </w:r>
    </w:p>
    <w:p w14:paraId="79476467" w14:textId="389E94F7" w:rsidR="001845CA" w:rsidRPr="001845CA" w:rsidRDefault="001845CA" w:rsidP="00FE6FB9">
      <w:pPr>
        <w:pStyle w:val="Paragrafoelenco"/>
        <w:numPr>
          <w:ilvl w:val="0"/>
          <w:numId w:val="10"/>
        </w:numPr>
        <w:tabs>
          <w:tab w:val="left" w:pos="0"/>
        </w:tabs>
        <w:spacing w:before="240" w:after="160"/>
        <w:ind w:left="-180" w:right="-1"/>
        <w:jc w:val="both"/>
        <w:rPr>
          <w:rFonts w:ascii="Titillium" w:hAnsi="Titillium" w:cstheme="minorHAnsi"/>
          <w:sz w:val="20"/>
          <w:szCs w:val="20"/>
        </w:rPr>
      </w:pPr>
      <w:r w:rsidRPr="001845CA">
        <w:rPr>
          <w:rFonts w:ascii="Titillium" w:hAnsi="Titillium" w:cstheme="minorHAnsi"/>
          <w:sz w:val="20"/>
          <w:szCs w:val="20"/>
        </w:rPr>
        <w:t>si impegnano a rispettare le Leggi Anticorruzione nell’esecuzione delle attività di cui al</w:t>
      </w:r>
      <w:r w:rsidR="00CC5A7C">
        <w:rPr>
          <w:rFonts w:ascii="Titillium" w:hAnsi="Titillium" w:cstheme="minorHAnsi"/>
          <w:sz w:val="20"/>
          <w:szCs w:val="20"/>
        </w:rPr>
        <w:t xml:space="preserve"> presente accordo</w:t>
      </w:r>
      <w:r w:rsidRPr="001845CA">
        <w:rPr>
          <w:rFonts w:ascii="Titillium" w:hAnsi="Titillium" w:cstheme="minorHAnsi"/>
          <w:sz w:val="20"/>
          <w:szCs w:val="20"/>
        </w:rPr>
        <w:t>;</w:t>
      </w:r>
    </w:p>
    <w:p w14:paraId="42E3B84E" w14:textId="02E6EF14" w:rsidR="001845CA" w:rsidRPr="001845CA" w:rsidRDefault="001845CA" w:rsidP="00FE6FB9">
      <w:pPr>
        <w:pStyle w:val="Paragrafoelenco"/>
        <w:numPr>
          <w:ilvl w:val="0"/>
          <w:numId w:val="10"/>
        </w:numPr>
        <w:tabs>
          <w:tab w:val="left" w:pos="0"/>
        </w:tabs>
        <w:spacing w:before="240" w:after="160"/>
        <w:ind w:left="-180" w:right="-1"/>
        <w:jc w:val="both"/>
        <w:rPr>
          <w:rFonts w:ascii="Titillium" w:hAnsi="Titillium" w:cstheme="minorHAnsi"/>
          <w:sz w:val="20"/>
          <w:szCs w:val="20"/>
        </w:rPr>
      </w:pPr>
      <w:r w:rsidRPr="001845CA">
        <w:rPr>
          <w:rFonts w:ascii="Titillium" w:hAnsi="Titillium" w:cstheme="minorHAnsi"/>
          <w:sz w:val="20"/>
          <w:szCs w:val="20"/>
        </w:rPr>
        <w:t>si impegnano a rispettare le Leggi Anticorruzione nello svolgimento delle attività dirette ad ottenere tutte le licenze, le autorizzazioni e i permessi richiesti da qualsiasi autorità competente in relazione al</w:t>
      </w:r>
      <w:r w:rsidR="00CC5A7C">
        <w:rPr>
          <w:rFonts w:ascii="Titillium" w:hAnsi="Titillium" w:cstheme="minorHAnsi"/>
          <w:sz w:val="20"/>
          <w:szCs w:val="20"/>
        </w:rPr>
        <w:t xml:space="preserve"> presente accordo</w:t>
      </w:r>
      <w:r w:rsidRPr="001845CA">
        <w:rPr>
          <w:rFonts w:ascii="Titillium" w:hAnsi="Titillium" w:cstheme="minorHAnsi"/>
          <w:sz w:val="20"/>
          <w:szCs w:val="20"/>
        </w:rPr>
        <w:t>;</w:t>
      </w:r>
    </w:p>
    <w:p w14:paraId="35226FF6" w14:textId="77777777" w:rsidR="001845CA" w:rsidRPr="001845CA" w:rsidRDefault="001845CA" w:rsidP="00FE6FB9">
      <w:pPr>
        <w:pStyle w:val="Paragrafoelenco"/>
        <w:numPr>
          <w:ilvl w:val="0"/>
          <w:numId w:val="10"/>
        </w:numPr>
        <w:tabs>
          <w:tab w:val="left" w:pos="0"/>
        </w:tabs>
        <w:spacing w:before="240" w:after="160"/>
        <w:ind w:left="-180" w:right="-1"/>
        <w:jc w:val="both"/>
        <w:rPr>
          <w:rFonts w:ascii="Titillium" w:hAnsi="Titillium" w:cstheme="minorHAnsi"/>
          <w:sz w:val="20"/>
          <w:szCs w:val="20"/>
        </w:rPr>
      </w:pPr>
      <w:r w:rsidRPr="001845CA">
        <w:rPr>
          <w:rFonts w:ascii="Titillium" w:hAnsi="Titillium" w:cstheme="minorHAnsi"/>
          <w:sz w:val="20"/>
          <w:szCs w:val="20"/>
        </w:rPr>
        <w:t>si impegnano a non violare, né permettere, autorizzare o tollerare alcuna violazione delle Leggi Anticorruzione.</w:t>
      </w:r>
    </w:p>
    <w:p w14:paraId="052E123A" w14:textId="23762E1E"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1</w:t>
      </w:r>
      <w:r w:rsidRPr="001845CA">
        <w:rPr>
          <w:rFonts w:ascii="Titillium" w:hAnsi="Titillium" w:cstheme="minorHAnsi"/>
          <w:b/>
          <w:sz w:val="20"/>
          <w:szCs w:val="20"/>
        </w:rPr>
        <w:t xml:space="preserve"> - Uso dei segni distintivi</w:t>
      </w:r>
    </w:p>
    <w:p w14:paraId="537DF716" w14:textId="36A9314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Le Parti si autorizzano reciprocamente a far uso dei rispettivi segni distintivi, in particolare dei propri marchi, per lo svolgimento di attività di comunicazione relative al </w:t>
      </w:r>
      <w:r w:rsidR="009819BA">
        <w:rPr>
          <w:rFonts w:ascii="Titillium" w:hAnsi="Titillium" w:cstheme="minorHAnsi"/>
          <w:sz w:val="20"/>
          <w:szCs w:val="20"/>
        </w:rPr>
        <w:t>p</w:t>
      </w:r>
      <w:r w:rsidRPr="001845CA">
        <w:rPr>
          <w:rFonts w:ascii="Titillium" w:hAnsi="Titillium" w:cstheme="minorHAnsi"/>
          <w:sz w:val="20"/>
          <w:szCs w:val="20"/>
        </w:rPr>
        <w:t>rogetto.</w:t>
      </w:r>
    </w:p>
    <w:p w14:paraId="227CF3CA" w14:textId="531D5091"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L’uso dei segni distintivi dovrà essere conforme alla correttezza professionale e tale da non generare messaggi confusi, in merito al ruolo ricoperto dalle Parti all’interno del </w:t>
      </w:r>
      <w:r w:rsidR="009819BA">
        <w:rPr>
          <w:rFonts w:ascii="Titillium" w:hAnsi="Titillium" w:cstheme="minorHAnsi"/>
          <w:sz w:val="20"/>
          <w:szCs w:val="20"/>
        </w:rPr>
        <w:t>p</w:t>
      </w:r>
      <w:r w:rsidRPr="001845CA">
        <w:rPr>
          <w:rFonts w:ascii="Titillium" w:hAnsi="Titillium" w:cstheme="minorHAnsi"/>
          <w:sz w:val="20"/>
          <w:szCs w:val="20"/>
        </w:rPr>
        <w:t xml:space="preserve">rogetto. Con riferimento ai marchi, le Parti si obbligano a rispettare la normativa grafica impartita da ciascun titolare. </w:t>
      </w:r>
    </w:p>
    <w:p w14:paraId="2EA15C55"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Resta inteso che ogni altro uso diverso da quello sopra indicato dovrà essere espressamente autorizzato. </w:t>
      </w:r>
    </w:p>
    <w:p w14:paraId="7F5FFB72" w14:textId="466A5778"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lastRenderedPageBreak/>
        <w:t>Art. 2</w:t>
      </w:r>
      <w:r w:rsidR="000C42A2">
        <w:rPr>
          <w:rFonts w:ascii="Titillium" w:hAnsi="Titillium" w:cstheme="minorHAnsi"/>
          <w:b/>
          <w:sz w:val="20"/>
          <w:szCs w:val="20"/>
        </w:rPr>
        <w:t>2</w:t>
      </w:r>
      <w:r w:rsidRPr="001845CA">
        <w:rPr>
          <w:rFonts w:ascii="Titillium" w:hAnsi="Titillium" w:cstheme="minorHAnsi"/>
          <w:b/>
          <w:sz w:val="20"/>
          <w:szCs w:val="20"/>
        </w:rPr>
        <w:t xml:space="preserve"> - Recesso e Inadempimento</w:t>
      </w:r>
    </w:p>
    <w:p w14:paraId="203E4B10" w14:textId="1786C6E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Le Parti, qualora, nel corso di svolgimento delle attività, intervengano fatti o provvedimenti che modifichino la situazione esistente all’atto della stipula del presente </w:t>
      </w:r>
      <w:r w:rsidR="00CC5A7C">
        <w:rPr>
          <w:rFonts w:ascii="Titillium" w:hAnsi="Titillium" w:cstheme="minorHAnsi"/>
          <w:sz w:val="20"/>
          <w:szCs w:val="20"/>
        </w:rPr>
        <w:t>accordo</w:t>
      </w:r>
      <w:r w:rsidRPr="001845CA">
        <w:rPr>
          <w:rFonts w:ascii="Titillium" w:hAnsi="Titillium" w:cstheme="minorHAnsi"/>
          <w:sz w:val="20"/>
          <w:szCs w:val="20"/>
        </w:rPr>
        <w:t xml:space="preserve"> o ne rendano impossibile o inopportuna la conduzione a termine, potranno recedere dal presente </w:t>
      </w:r>
      <w:r w:rsidR="00CC5A7C">
        <w:rPr>
          <w:rFonts w:ascii="Titillium" w:hAnsi="Titillium" w:cstheme="minorHAnsi"/>
          <w:sz w:val="20"/>
          <w:szCs w:val="20"/>
        </w:rPr>
        <w:t>accordo</w:t>
      </w:r>
      <w:r w:rsidRPr="001845CA">
        <w:rPr>
          <w:rFonts w:ascii="Titillium" w:hAnsi="Titillium" w:cstheme="minorHAnsi"/>
          <w:sz w:val="20"/>
          <w:szCs w:val="20"/>
        </w:rPr>
        <w:t xml:space="preserve"> con un preavviso scritto di almeno quindici giorni</w:t>
      </w:r>
    </w:p>
    <w:p w14:paraId="10D26807" w14:textId="5872B9B3"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Ai sensi del presente </w:t>
      </w:r>
      <w:r w:rsidR="00CC5A7C">
        <w:rPr>
          <w:rFonts w:ascii="Titillium" w:hAnsi="Titillium" w:cstheme="minorHAnsi"/>
          <w:sz w:val="20"/>
          <w:szCs w:val="20"/>
        </w:rPr>
        <w:t>accordo</w:t>
      </w:r>
      <w:r w:rsidRPr="001845CA">
        <w:rPr>
          <w:rFonts w:ascii="Titillium" w:hAnsi="Titillium" w:cstheme="minorHAnsi"/>
          <w:sz w:val="20"/>
          <w:szCs w:val="20"/>
        </w:rPr>
        <w:t xml:space="preserve"> ciascuna Parte sarà direttamente responsabile per qualsiasi perdita, danno o eventuale lesione a terzi derivanti da fatti, azioni o omissioni propri o dei propri dipendenti e collaboratori. </w:t>
      </w:r>
    </w:p>
    <w:p w14:paraId="72ED8565" w14:textId="595BF401"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Il recesso di un soggetto realizzatore non consente la sostituzione con altro soggetto, per cui le Parti non recedenti hanno l’obbligo di completare il </w:t>
      </w:r>
      <w:r w:rsidR="009819BA">
        <w:rPr>
          <w:rFonts w:ascii="Titillium" w:hAnsi="Titillium" w:cstheme="minorHAnsi"/>
          <w:sz w:val="20"/>
          <w:szCs w:val="20"/>
        </w:rPr>
        <w:t>p</w:t>
      </w:r>
      <w:r w:rsidRPr="001845CA">
        <w:rPr>
          <w:rFonts w:ascii="Titillium" w:hAnsi="Titillium" w:cstheme="minorHAnsi"/>
          <w:sz w:val="20"/>
          <w:szCs w:val="20"/>
        </w:rPr>
        <w:t xml:space="preserve">rogetto, così come eventualmente ridefinito dal MUR. </w:t>
      </w:r>
    </w:p>
    <w:p w14:paraId="1D235E04" w14:textId="2D1B6061"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Resta inteso che la Parte recedente dovrà restituire il finanziamento ad essa assegnato, per la quota non ancora utilizzata, e dovrà risarcire l’eventuale danno causato alle altre Parti del </w:t>
      </w:r>
      <w:r w:rsidR="009819BA">
        <w:rPr>
          <w:rFonts w:ascii="Titillium" w:hAnsi="Titillium" w:cstheme="minorHAnsi"/>
          <w:sz w:val="20"/>
          <w:szCs w:val="20"/>
        </w:rPr>
        <w:t>p</w:t>
      </w:r>
      <w:r w:rsidRPr="001845CA">
        <w:rPr>
          <w:rFonts w:ascii="Titillium" w:hAnsi="Titillium" w:cstheme="minorHAnsi"/>
          <w:sz w:val="20"/>
          <w:szCs w:val="20"/>
        </w:rPr>
        <w:t>rogetto.</w:t>
      </w:r>
    </w:p>
    <w:p w14:paraId="70DA8FB3" w14:textId="7674816E"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Ogni Parte è responsabile esclusivamente dell’adempimento delle obbligazioni di competenza della medesima, secondo quanto risultante dal </w:t>
      </w:r>
      <w:r w:rsidR="009819BA">
        <w:rPr>
          <w:rFonts w:ascii="Titillium" w:hAnsi="Titillium" w:cstheme="minorHAnsi"/>
          <w:sz w:val="20"/>
          <w:szCs w:val="20"/>
        </w:rPr>
        <w:t>p</w:t>
      </w:r>
      <w:r w:rsidRPr="001845CA">
        <w:rPr>
          <w:rFonts w:ascii="Titillium" w:hAnsi="Titillium" w:cstheme="minorHAnsi"/>
          <w:sz w:val="20"/>
          <w:szCs w:val="20"/>
        </w:rPr>
        <w:t>rogetto approvato dal</w:t>
      </w:r>
      <w:r w:rsidR="005979EE">
        <w:rPr>
          <w:rFonts w:ascii="Titillium" w:hAnsi="Titillium" w:cstheme="minorHAnsi"/>
          <w:sz w:val="20"/>
          <w:szCs w:val="20"/>
        </w:rPr>
        <w:t xml:space="preserve">lo </w:t>
      </w:r>
      <w:proofErr w:type="spellStart"/>
      <w:r w:rsidR="005979EE">
        <w:rPr>
          <w:rFonts w:ascii="Titillium" w:hAnsi="Titillium" w:cstheme="minorHAnsi"/>
          <w:sz w:val="20"/>
          <w:szCs w:val="20"/>
        </w:rPr>
        <w:t>Spoke</w:t>
      </w:r>
      <w:proofErr w:type="spellEnd"/>
      <w:r w:rsidRPr="001845CA">
        <w:rPr>
          <w:rFonts w:ascii="Titillium" w:hAnsi="Titillium" w:cstheme="minorHAnsi"/>
          <w:sz w:val="20"/>
          <w:szCs w:val="20"/>
        </w:rPr>
        <w:t xml:space="preserve">. </w:t>
      </w:r>
    </w:p>
    <w:p w14:paraId="0BC7B47A"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Ciascuna Parte sarà responsabile delle spese e delle obbligazioni dalla medesima assunte e, ove non ammissibili e/o eleggibili e/o non finanziate, provvederà interamente alla loro copertura, senza responsabilità solidale con le altre Parti. </w:t>
      </w:r>
    </w:p>
    <w:p w14:paraId="076355E9" w14:textId="3C1895F9"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3</w:t>
      </w:r>
      <w:r w:rsidRPr="001845CA">
        <w:rPr>
          <w:rFonts w:ascii="Titillium" w:hAnsi="Titillium" w:cstheme="minorHAnsi"/>
          <w:b/>
          <w:sz w:val="20"/>
          <w:szCs w:val="20"/>
        </w:rPr>
        <w:t xml:space="preserve"> - Legge applicabile</w:t>
      </w:r>
    </w:p>
    <w:p w14:paraId="08E377DB" w14:textId="0AB8F171"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L’interpretazione e l’esecuzione del presente </w:t>
      </w:r>
      <w:r w:rsidR="00CC5A7C">
        <w:rPr>
          <w:rFonts w:ascii="Titillium" w:hAnsi="Titillium" w:cstheme="minorHAnsi"/>
          <w:sz w:val="20"/>
          <w:szCs w:val="20"/>
        </w:rPr>
        <w:t>accordo</w:t>
      </w:r>
      <w:r w:rsidRPr="001845CA">
        <w:rPr>
          <w:rFonts w:ascii="Titillium" w:hAnsi="Titillium" w:cstheme="minorHAnsi"/>
          <w:sz w:val="20"/>
          <w:szCs w:val="20"/>
        </w:rPr>
        <w:t>, nonché i rapporti tra le Parti derivanti dallo stesso, sono regolati dalla legge italiana, con esclusione dell’applicazione delle norme di diritto internazionale privato di tale ordinamento giuridico.</w:t>
      </w:r>
    </w:p>
    <w:p w14:paraId="1979C67B" w14:textId="6E687974"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4</w:t>
      </w:r>
      <w:r w:rsidRPr="001845CA">
        <w:rPr>
          <w:rFonts w:ascii="Titillium" w:hAnsi="Titillium" w:cstheme="minorHAnsi"/>
          <w:b/>
          <w:sz w:val="20"/>
          <w:szCs w:val="20"/>
        </w:rPr>
        <w:t xml:space="preserve"> - Controversie e Foro competente</w:t>
      </w:r>
    </w:p>
    <w:p w14:paraId="6FC01FD1" w14:textId="26115979"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Nel caso di controversie di qualsiasi natura, anche relative a conflitti di interessi tra le Parti, che dovessero insorgere in ordine alla interpretazione e applicazione del presente </w:t>
      </w:r>
      <w:r w:rsidR="00CC5A7C">
        <w:rPr>
          <w:rFonts w:ascii="Titillium" w:hAnsi="Titillium" w:cstheme="minorHAnsi"/>
          <w:sz w:val="20"/>
          <w:szCs w:val="20"/>
        </w:rPr>
        <w:t>accordo</w:t>
      </w:r>
      <w:r w:rsidRPr="001845CA">
        <w:rPr>
          <w:rFonts w:ascii="Titillium" w:hAnsi="Titillium" w:cstheme="minorHAnsi"/>
          <w:sz w:val="20"/>
          <w:szCs w:val="20"/>
        </w:rPr>
        <w:t>, le Parti si impegnano a comporre amichevolmente e secondo equità le controversie medesime.</w:t>
      </w:r>
    </w:p>
    <w:p w14:paraId="38918B8A" w14:textId="12771D98"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Resta inteso che eventuali controversie non pregiudicheranno in alcun modo la regolare esecuzione delle attività previste, né consentiranno alcuna sospensione delle prestazioni dovute dalle Parti, tranne nel caso in cui </w:t>
      </w:r>
      <w:r w:rsidR="005979EE">
        <w:rPr>
          <w:rFonts w:ascii="Titillium" w:hAnsi="Titillium" w:cstheme="minorHAnsi"/>
          <w:sz w:val="20"/>
          <w:szCs w:val="20"/>
        </w:rPr>
        <w:t xml:space="preserve">lo </w:t>
      </w:r>
      <w:proofErr w:type="spellStart"/>
      <w:r w:rsidR="005979EE">
        <w:rPr>
          <w:rFonts w:ascii="Titillium" w:hAnsi="Titillium" w:cstheme="minorHAnsi"/>
          <w:sz w:val="20"/>
          <w:szCs w:val="20"/>
        </w:rPr>
        <w:t>Spoke</w:t>
      </w:r>
      <w:proofErr w:type="spellEnd"/>
      <w:r w:rsidR="005979EE">
        <w:rPr>
          <w:rFonts w:ascii="Titillium" w:hAnsi="Titillium" w:cstheme="minorHAnsi"/>
          <w:sz w:val="20"/>
          <w:szCs w:val="20"/>
        </w:rPr>
        <w:t xml:space="preserve"> </w:t>
      </w:r>
      <w:r w:rsidRPr="001845CA">
        <w:rPr>
          <w:rFonts w:ascii="Titillium" w:hAnsi="Titillium" w:cstheme="minorHAnsi"/>
          <w:sz w:val="20"/>
          <w:szCs w:val="20"/>
        </w:rPr>
        <w:t xml:space="preserve">non valuti diversamente. </w:t>
      </w:r>
    </w:p>
    <w:p w14:paraId="42A2F54A" w14:textId="1E2D2A10"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Salvo ed impregiudicato quanto previsto al comma 1 del presente articolo, per ogni controversia scaturente dal presente </w:t>
      </w:r>
      <w:r w:rsidR="00CC5A7C">
        <w:rPr>
          <w:rFonts w:ascii="Titillium" w:hAnsi="Titillium" w:cstheme="minorHAnsi"/>
          <w:sz w:val="20"/>
          <w:szCs w:val="20"/>
        </w:rPr>
        <w:t>accordo</w:t>
      </w:r>
      <w:r w:rsidRPr="001845CA">
        <w:rPr>
          <w:rFonts w:ascii="Titillium" w:hAnsi="Titillium" w:cstheme="minorHAnsi"/>
          <w:sz w:val="20"/>
          <w:szCs w:val="20"/>
        </w:rPr>
        <w:t xml:space="preserve"> il foro competente sarà quello di Roma.</w:t>
      </w:r>
    </w:p>
    <w:p w14:paraId="00A8EEA7" w14:textId="0BEF8C0D"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5</w:t>
      </w:r>
      <w:r w:rsidRPr="001845CA">
        <w:rPr>
          <w:rFonts w:ascii="Titillium" w:hAnsi="Titillium" w:cstheme="minorHAnsi"/>
          <w:b/>
          <w:sz w:val="20"/>
          <w:szCs w:val="20"/>
        </w:rPr>
        <w:t xml:space="preserve"> - Durata</w:t>
      </w:r>
    </w:p>
    <w:p w14:paraId="6BD83D2E" w14:textId="1591B87E"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Il presente </w:t>
      </w:r>
      <w:r w:rsidR="00CC5A7C">
        <w:rPr>
          <w:rFonts w:ascii="Titillium" w:hAnsi="Titillium" w:cstheme="minorHAnsi"/>
          <w:sz w:val="20"/>
          <w:szCs w:val="20"/>
        </w:rPr>
        <w:t>accordo</w:t>
      </w:r>
      <w:r w:rsidRPr="001845CA">
        <w:rPr>
          <w:rFonts w:ascii="Titillium" w:hAnsi="Titillium" w:cstheme="minorHAnsi"/>
          <w:sz w:val="20"/>
          <w:szCs w:val="20"/>
        </w:rPr>
        <w:t xml:space="preserve"> è valido ed efficace dalla data di sottoscrizione ed il suo termine corrisponderà al termine delle attività progettuali, così come individuato nel </w:t>
      </w:r>
      <w:r w:rsidR="009819BA">
        <w:rPr>
          <w:rFonts w:ascii="Titillium" w:hAnsi="Titillium" w:cstheme="minorHAnsi"/>
          <w:sz w:val="20"/>
          <w:szCs w:val="20"/>
        </w:rPr>
        <w:t>p</w:t>
      </w:r>
      <w:r w:rsidRPr="001845CA">
        <w:rPr>
          <w:rFonts w:ascii="Titillium" w:hAnsi="Titillium" w:cstheme="minorHAnsi"/>
          <w:sz w:val="20"/>
          <w:szCs w:val="20"/>
        </w:rPr>
        <w:t>rogetto, salvo eventuali proroghe concesse dal MUR.</w:t>
      </w:r>
    </w:p>
    <w:p w14:paraId="61AFF69C" w14:textId="656BD0E0"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Le Parti accettano sin da adesso che laddove venga concessa una o più proroghe dal MUR il presente </w:t>
      </w:r>
      <w:r w:rsidR="00CC5A7C">
        <w:rPr>
          <w:rFonts w:ascii="Titillium" w:hAnsi="Titillium" w:cstheme="minorHAnsi"/>
          <w:sz w:val="20"/>
          <w:szCs w:val="20"/>
        </w:rPr>
        <w:t>accordo</w:t>
      </w:r>
      <w:r w:rsidRPr="001845CA">
        <w:rPr>
          <w:rFonts w:ascii="Titillium" w:hAnsi="Titillium" w:cstheme="minorHAnsi"/>
          <w:sz w:val="20"/>
          <w:szCs w:val="20"/>
        </w:rPr>
        <w:t xml:space="preserve"> si intenderà automaticamente prorogato per un analogo periodo di tempo.</w:t>
      </w:r>
    </w:p>
    <w:p w14:paraId="3694AF71" w14:textId="736A70D9"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L</w:t>
      </w:r>
      <w:r w:rsidR="008A7148">
        <w:rPr>
          <w:rFonts w:ascii="Titillium" w:hAnsi="Titillium" w:cstheme="minorHAnsi"/>
          <w:sz w:val="20"/>
          <w:szCs w:val="20"/>
        </w:rPr>
        <w:t xml:space="preserve">o </w:t>
      </w:r>
      <w:proofErr w:type="spellStart"/>
      <w:r w:rsidR="008A7148">
        <w:rPr>
          <w:rFonts w:ascii="Titillium" w:hAnsi="Titillium" w:cstheme="minorHAnsi"/>
          <w:sz w:val="20"/>
          <w:szCs w:val="20"/>
        </w:rPr>
        <w:t>Spoke</w:t>
      </w:r>
      <w:proofErr w:type="spellEnd"/>
      <w:r w:rsidR="008A7148">
        <w:rPr>
          <w:rFonts w:ascii="Titillium" w:hAnsi="Titillium" w:cstheme="minorHAnsi"/>
          <w:sz w:val="20"/>
          <w:szCs w:val="20"/>
        </w:rPr>
        <w:t xml:space="preserve"> </w:t>
      </w:r>
      <w:r w:rsidRPr="001845CA">
        <w:rPr>
          <w:rFonts w:ascii="Titillium" w:hAnsi="Titillium" w:cstheme="minorHAnsi"/>
          <w:sz w:val="20"/>
          <w:szCs w:val="20"/>
        </w:rPr>
        <w:t xml:space="preserve">si impegna a comunicare tempestivamente a tutte le altre Parti l’estensione della durata del </w:t>
      </w:r>
      <w:r w:rsidR="009819BA">
        <w:rPr>
          <w:rFonts w:ascii="Titillium" w:hAnsi="Titillium" w:cstheme="minorHAnsi"/>
          <w:sz w:val="20"/>
          <w:szCs w:val="20"/>
        </w:rPr>
        <w:t>p</w:t>
      </w:r>
      <w:r w:rsidRPr="001845CA">
        <w:rPr>
          <w:rFonts w:ascii="Titillium" w:hAnsi="Titillium" w:cstheme="minorHAnsi"/>
          <w:sz w:val="20"/>
          <w:szCs w:val="20"/>
        </w:rPr>
        <w:t>rogetto.</w:t>
      </w:r>
    </w:p>
    <w:p w14:paraId="011B43B1" w14:textId="4C476FFF"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6</w:t>
      </w:r>
      <w:r w:rsidRPr="001845CA">
        <w:rPr>
          <w:rFonts w:ascii="Titillium" w:hAnsi="Titillium" w:cstheme="minorHAnsi"/>
          <w:b/>
          <w:sz w:val="20"/>
          <w:szCs w:val="20"/>
        </w:rPr>
        <w:t xml:space="preserve"> - Comunicazioni</w:t>
      </w:r>
    </w:p>
    <w:p w14:paraId="0E009547" w14:textId="58F61E74"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lastRenderedPageBreak/>
        <w:t xml:space="preserve">Ogni comunicazione relativa a e/o comunque connessa con l’esecuzione del presente </w:t>
      </w:r>
      <w:r w:rsidR="00CC5A7C">
        <w:rPr>
          <w:rFonts w:ascii="Titillium" w:hAnsi="Titillium" w:cstheme="minorHAnsi"/>
          <w:sz w:val="20"/>
          <w:szCs w:val="20"/>
        </w:rPr>
        <w:t>accordo</w:t>
      </w:r>
      <w:r w:rsidRPr="001845CA">
        <w:rPr>
          <w:rFonts w:ascii="Titillium" w:hAnsi="Titillium" w:cstheme="minorHAnsi"/>
          <w:sz w:val="20"/>
          <w:szCs w:val="20"/>
        </w:rPr>
        <w:t xml:space="preserve"> dovrà essere effettuata al</w:t>
      </w:r>
      <w:r w:rsidR="008A7148">
        <w:rPr>
          <w:rFonts w:ascii="Titillium" w:hAnsi="Titillium" w:cstheme="minorHAnsi"/>
          <w:sz w:val="20"/>
          <w:szCs w:val="20"/>
        </w:rPr>
        <w:t xml:space="preserve">lo </w:t>
      </w:r>
      <w:proofErr w:type="spellStart"/>
      <w:r w:rsidR="008A7148">
        <w:rPr>
          <w:rFonts w:ascii="Titillium" w:hAnsi="Titillium" w:cstheme="minorHAnsi"/>
          <w:sz w:val="20"/>
          <w:szCs w:val="20"/>
        </w:rPr>
        <w:t>Spoke</w:t>
      </w:r>
      <w:proofErr w:type="spellEnd"/>
      <w:r w:rsidR="008A7148">
        <w:rPr>
          <w:rFonts w:ascii="Titillium" w:hAnsi="Titillium" w:cstheme="minorHAnsi"/>
          <w:sz w:val="20"/>
          <w:szCs w:val="20"/>
        </w:rPr>
        <w:t xml:space="preserve"> e d</w:t>
      </w:r>
      <w:r w:rsidRPr="001845CA">
        <w:rPr>
          <w:rFonts w:ascii="Titillium" w:hAnsi="Titillium" w:cstheme="minorHAnsi"/>
          <w:sz w:val="20"/>
          <w:szCs w:val="20"/>
        </w:rPr>
        <w:t>all</w:t>
      </w:r>
      <w:r w:rsidR="008A7148">
        <w:rPr>
          <w:rFonts w:ascii="Titillium" w:hAnsi="Titillium" w:cstheme="minorHAnsi"/>
          <w:sz w:val="20"/>
          <w:szCs w:val="20"/>
        </w:rPr>
        <w:t xml:space="preserve">o </w:t>
      </w:r>
      <w:proofErr w:type="spellStart"/>
      <w:r w:rsidR="008A7148">
        <w:rPr>
          <w:rFonts w:ascii="Titillium" w:hAnsi="Titillium" w:cstheme="minorHAnsi"/>
          <w:sz w:val="20"/>
          <w:szCs w:val="20"/>
        </w:rPr>
        <w:t>Spoke</w:t>
      </w:r>
      <w:proofErr w:type="spellEnd"/>
      <w:r w:rsidR="008A7148">
        <w:rPr>
          <w:rFonts w:ascii="Titillium" w:hAnsi="Titillium" w:cstheme="minorHAnsi"/>
          <w:sz w:val="20"/>
          <w:szCs w:val="20"/>
        </w:rPr>
        <w:t xml:space="preserve"> </w:t>
      </w:r>
      <w:r w:rsidRPr="001845CA">
        <w:rPr>
          <w:rFonts w:ascii="Titillium" w:hAnsi="Titillium" w:cstheme="minorHAnsi"/>
          <w:sz w:val="20"/>
          <w:szCs w:val="20"/>
        </w:rPr>
        <w:t>utilizzando i seguenti recapiti:</w:t>
      </w:r>
    </w:p>
    <w:p w14:paraId="476B6C35" w14:textId="77777777" w:rsidR="001845CA" w:rsidRPr="001845CA" w:rsidRDefault="001845CA" w:rsidP="00A77813">
      <w:pPr>
        <w:tabs>
          <w:tab w:val="left" w:pos="0"/>
        </w:tabs>
        <w:spacing w:before="240" w:after="120"/>
        <w:ind w:left="-180"/>
        <w:jc w:val="both"/>
        <w:rPr>
          <w:rFonts w:ascii="Titillium" w:hAnsi="Titillium" w:cstheme="minorHAnsi"/>
          <w:sz w:val="20"/>
          <w:szCs w:val="20"/>
          <w:u w:val="single"/>
        </w:rPr>
      </w:pPr>
      <w:r w:rsidRPr="001845CA">
        <w:rPr>
          <w:rFonts w:ascii="Titillium" w:hAnsi="Titillium" w:cstheme="minorHAnsi"/>
          <w:sz w:val="20"/>
          <w:szCs w:val="20"/>
        </w:rPr>
        <w:t xml:space="preserve">E-mail: </w:t>
      </w:r>
      <w:hyperlink r:id="rId10" w:history="1">
        <w:r w:rsidRPr="001845CA">
          <w:rPr>
            <w:rStyle w:val="Collegamentoipertestuale"/>
            <w:rFonts w:ascii="Titillium" w:hAnsi="Titillium" w:cstheme="minorHAnsi"/>
            <w:sz w:val="20"/>
            <w:szCs w:val="20"/>
          </w:rPr>
          <w:t>segreteria@fondazione-restart.it</w:t>
        </w:r>
      </w:hyperlink>
      <w:r w:rsidRPr="001845CA">
        <w:rPr>
          <w:rFonts w:ascii="Titillium" w:hAnsi="Titillium" w:cstheme="minorHAnsi"/>
          <w:sz w:val="20"/>
          <w:szCs w:val="20"/>
          <w:u w:val="single"/>
        </w:rPr>
        <w:t xml:space="preserve"> </w:t>
      </w:r>
      <w:r w:rsidRPr="001845CA">
        <w:rPr>
          <w:rFonts w:ascii="Titillium" w:hAnsi="Titillium" w:cstheme="minorHAnsi"/>
          <w:sz w:val="20"/>
          <w:szCs w:val="20"/>
        </w:rPr>
        <w:t xml:space="preserve">e indirizzo PEC: </w:t>
      </w:r>
      <w:hyperlink r:id="rId11" w:history="1">
        <w:r w:rsidRPr="001845CA">
          <w:rPr>
            <w:rStyle w:val="Collegamentoipertestuale"/>
            <w:rFonts w:ascii="Titillium" w:hAnsi="Titillium" w:cstheme="minorHAnsi"/>
            <w:sz w:val="20"/>
            <w:szCs w:val="20"/>
          </w:rPr>
          <w:t>fondazione-restart@pec.it</w:t>
        </w:r>
      </w:hyperlink>
      <w:r w:rsidRPr="001845CA">
        <w:rPr>
          <w:rFonts w:ascii="Titillium" w:hAnsi="Titillium" w:cstheme="minorHAnsi"/>
          <w:sz w:val="20"/>
          <w:szCs w:val="20"/>
          <w:u w:val="single"/>
        </w:rPr>
        <w:t>.</w:t>
      </w:r>
    </w:p>
    <w:p w14:paraId="7F23010F" w14:textId="7777777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La variazione dei recapiti indicati al paragrafo precedente dovrà essere tempestivamente comunicata all’altra Parte. Fino all’avvenuta comunicazione della variazione, le comunicazioni inviate ai recapiti precedentemente indicati si avranno per validamente effettuate.</w:t>
      </w:r>
    </w:p>
    <w:p w14:paraId="7CEC8FD6" w14:textId="44550441"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7</w:t>
      </w:r>
      <w:r w:rsidRPr="001845CA">
        <w:rPr>
          <w:rFonts w:ascii="Titillium" w:hAnsi="Titillium" w:cstheme="minorHAnsi"/>
          <w:b/>
          <w:sz w:val="20"/>
          <w:szCs w:val="20"/>
        </w:rPr>
        <w:t>- Clausola generale</w:t>
      </w:r>
    </w:p>
    <w:p w14:paraId="1A56FA75" w14:textId="6036E526"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Qualsiasi modifica al presente </w:t>
      </w:r>
      <w:r w:rsidR="00CC5A7C">
        <w:rPr>
          <w:rFonts w:ascii="Titillium" w:hAnsi="Titillium" w:cstheme="minorHAnsi"/>
          <w:sz w:val="20"/>
          <w:szCs w:val="20"/>
        </w:rPr>
        <w:t>accordo</w:t>
      </w:r>
      <w:r w:rsidRPr="001845CA">
        <w:rPr>
          <w:rFonts w:ascii="Titillium" w:hAnsi="Titillium" w:cstheme="minorHAnsi"/>
          <w:sz w:val="20"/>
          <w:szCs w:val="20"/>
        </w:rPr>
        <w:t xml:space="preserve"> sarà valida ed efficace solo ove stipulata per iscritto e a seguito della sottoscrizione delle Parti.</w:t>
      </w:r>
    </w:p>
    <w:p w14:paraId="15D31BC5" w14:textId="1EC016D7"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Per quanto non eventualmente previsto nel presente </w:t>
      </w:r>
      <w:r w:rsidR="00CC5A7C">
        <w:rPr>
          <w:rFonts w:ascii="Titillium" w:hAnsi="Titillium" w:cstheme="minorHAnsi"/>
          <w:sz w:val="20"/>
          <w:szCs w:val="20"/>
        </w:rPr>
        <w:t>accordo</w:t>
      </w:r>
      <w:r w:rsidRPr="001845CA">
        <w:rPr>
          <w:rFonts w:ascii="Titillium" w:hAnsi="Titillium" w:cstheme="minorHAnsi"/>
          <w:sz w:val="20"/>
          <w:szCs w:val="20"/>
        </w:rPr>
        <w:t>, le Parti si impegnano a instaurare delle trattative al fine di definire secondo buona fede gli aspetti che vengano di volta in volta in rilievo.</w:t>
      </w:r>
    </w:p>
    <w:p w14:paraId="5EDD100F" w14:textId="3500C0D6"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Art. 2</w:t>
      </w:r>
      <w:r w:rsidR="000C42A2">
        <w:rPr>
          <w:rFonts w:ascii="Titillium" w:hAnsi="Titillium" w:cstheme="minorHAnsi"/>
          <w:b/>
          <w:sz w:val="20"/>
          <w:szCs w:val="20"/>
        </w:rPr>
        <w:t>8</w:t>
      </w:r>
      <w:r w:rsidRPr="001845CA">
        <w:rPr>
          <w:rFonts w:ascii="Titillium" w:hAnsi="Titillium" w:cstheme="minorHAnsi"/>
          <w:b/>
          <w:sz w:val="20"/>
          <w:szCs w:val="20"/>
        </w:rPr>
        <w:t xml:space="preserve"> - Invalidità o inefficacia parziale de</w:t>
      </w:r>
      <w:r w:rsidR="00CC5A7C">
        <w:rPr>
          <w:rFonts w:ascii="Titillium" w:hAnsi="Titillium" w:cstheme="minorHAnsi"/>
          <w:b/>
          <w:sz w:val="20"/>
          <w:szCs w:val="20"/>
        </w:rPr>
        <w:t>ll’accordo</w:t>
      </w:r>
    </w:p>
    <w:p w14:paraId="61BDF1D4" w14:textId="060C5733"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Qualora una o più clausole del presente </w:t>
      </w:r>
      <w:r w:rsidR="00CC5A7C">
        <w:rPr>
          <w:rFonts w:ascii="Titillium" w:hAnsi="Titillium" w:cstheme="minorHAnsi"/>
          <w:sz w:val="20"/>
          <w:szCs w:val="20"/>
        </w:rPr>
        <w:t>accordo</w:t>
      </w:r>
      <w:r w:rsidRPr="001845CA">
        <w:rPr>
          <w:rFonts w:ascii="Titillium" w:hAnsi="Titillium" w:cstheme="minorHAnsi"/>
          <w:sz w:val="20"/>
          <w:szCs w:val="20"/>
        </w:rPr>
        <w:t xml:space="preserve"> siano dichiarate nulle, annullabili, invalide o comunque inefficaci, in nessun caso tale nullità, annullabilità, invalidità o inefficacia avrà effetto sulle restanti clausole del</w:t>
      </w:r>
      <w:r w:rsidR="00CC5A7C">
        <w:rPr>
          <w:rFonts w:ascii="Titillium" w:hAnsi="Titillium" w:cstheme="minorHAnsi"/>
          <w:sz w:val="20"/>
          <w:szCs w:val="20"/>
        </w:rPr>
        <w:t>l’accordo</w:t>
      </w:r>
      <w:r w:rsidRPr="001845CA">
        <w:rPr>
          <w:rFonts w:ascii="Titillium" w:hAnsi="Titillium" w:cstheme="minorHAnsi"/>
          <w:sz w:val="20"/>
          <w:szCs w:val="20"/>
        </w:rPr>
        <w:t xml:space="preserve">, dovendosi intendere le </w:t>
      </w:r>
      <w:proofErr w:type="gramStart"/>
      <w:r w:rsidRPr="001845CA">
        <w:rPr>
          <w:rFonts w:ascii="Titillium" w:hAnsi="Titillium" w:cstheme="minorHAnsi"/>
          <w:sz w:val="20"/>
          <w:szCs w:val="20"/>
        </w:rPr>
        <w:t>predette</w:t>
      </w:r>
      <w:proofErr w:type="gramEnd"/>
      <w:r w:rsidRPr="001845CA">
        <w:rPr>
          <w:rFonts w:ascii="Titillium" w:hAnsi="Titillium" w:cstheme="minorHAnsi"/>
          <w:sz w:val="20"/>
          <w:szCs w:val="20"/>
        </w:rPr>
        <w:t xml:space="preserve"> clausole come modificate, in senso conforme alla presunta o presumibile comune intenzione delle Parti, nella misura e nel senso necessari affinché esse possano essere ritenute valide ed efficaci.</w:t>
      </w:r>
    </w:p>
    <w:p w14:paraId="4EF33ED0" w14:textId="106DF344" w:rsidR="001845CA" w:rsidRPr="001845CA" w:rsidRDefault="001845CA" w:rsidP="00A77813">
      <w:pPr>
        <w:tabs>
          <w:tab w:val="left" w:pos="0"/>
        </w:tabs>
        <w:spacing w:before="240" w:after="120"/>
        <w:ind w:left="-180"/>
        <w:jc w:val="center"/>
        <w:rPr>
          <w:rFonts w:ascii="Titillium" w:hAnsi="Titillium" w:cstheme="minorHAnsi"/>
          <w:b/>
          <w:sz w:val="20"/>
          <w:szCs w:val="20"/>
        </w:rPr>
      </w:pPr>
      <w:r w:rsidRPr="001845CA">
        <w:rPr>
          <w:rFonts w:ascii="Titillium" w:hAnsi="Titillium" w:cstheme="minorHAnsi"/>
          <w:b/>
          <w:sz w:val="20"/>
          <w:szCs w:val="20"/>
        </w:rPr>
        <w:t xml:space="preserve">Art. </w:t>
      </w:r>
      <w:r w:rsidR="000C42A2">
        <w:rPr>
          <w:rFonts w:ascii="Titillium" w:hAnsi="Titillium" w:cstheme="minorHAnsi"/>
          <w:b/>
          <w:sz w:val="20"/>
          <w:szCs w:val="20"/>
        </w:rPr>
        <w:t>29</w:t>
      </w:r>
      <w:r w:rsidRPr="001845CA">
        <w:rPr>
          <w:rFonts w:ascii="Titillium" w:hAnsi="Titillium" w:cstheme="minorHAnsi"/>
          <w:b/>
          <w:sz w:val="20"/>
          <w:szCs w:val="20"/>
        </w:rPr>
        <w:t xml:space="preserve"> - Registrazione e spese</w:t>
      </w:r>
    </w:p>
    <w:p w14:paraId="64BD8182" w14:textId="79CDF3A3" w:rsidR="001845CA" w:rsidRPr="001845CA" w:rsidRDefault="001845CA" w:rsidP="00A77813">
      <w:pPr>
        <w:tabs>
          <w:tab w:val="left" w:pos="0"/>
        </w:tabs>
        <w:spacing w:before="240" w:after="120"/>
        <w:ind w:left="-180"/>
        <w:jc w:val="both"/>
        <w:rPr>
          <w:rFonts w:ascii="Titillium" w:hAnsi="Titillium" w:cstheme="minorHAnsi"/>
          <w:sz w:val="20"/>
          <w:szCs w:val="20"/>
        </w:rPr>
      </w:pPr>
      <w:r w:rsidRPr="001845CA">
        <w:rPr>
          <w:rFonts w:ascii="Titillium" w:hAnsi="Titillium" w:cstheme="minorHAnsi"/>
          <w:sz w:val="20"/>
          <w:szCs w:val="20"/>
        </w:rPr>
        <w:t xml:space="preserve">Il presente </w:t>
      </w:r>
      <w:r w:rsidR="00CC5A7C">
        <w:rPr>
          <w:rFonts w:ascii="Titillium" w:hAnsi="Titillium" w:cstheme="minorHAnsi"/>
          <w:sz w:val="20"/>
          <w:szCs w:val="20"/>
        </w:rPr>
        <w:t>accordo</w:t>
      </w:r>
      <w:r w:rsidRPr="001845CA">
        <w:rPr>
          <w:rFonts w:ascii="Titillium" w:hAnsi="Titillium" w:cstheme="minorHAnsi"/>
          <w:sz w:val="20"/>
          <w:szCs w:val="20"/>
        </w:rPr>
        <w:t xml:space="preserve"> sarà registrato in caso d’uso e tassa fissa ai sensi degli artt. 5, 6 e 39 del D.P.R. n.131 del 26.04.1986 a carico della Parte interessata. Le spese di bollo sono a carico dell</w:t>
      </w:r>
      <w:r w:rsidR="008A7148">
        <w:rPr>
          <w:rFonts w:ascii="Titillium" w:hAnsi="Titillium" w:cstheme="minorHAnsi"/>
          <w:sz w:val="20"/>
          <w:szCs w:val="20"/>
        </w:rPr>
        <w:t xml:space="preserve">o </w:t>
      </w:r>
      <w:proofErr w:type="spellStart"/>
      <w:r w:rsidR="008A7148">
        <w:rPr>
          <w:rFonts w:ascii="Titillium" w:hAnsi="Titillium" w:cstheme="minorHAnsi"/>
          <w:sz w:val="20"/>
          <w:szCs w:val="20"/>
        </w:rPr>
        <w:t>Spoke</w:t>
      </w:r>
      <w:proofErr w:type="spellEnd"/>
      <w:r w:rsidRPr="001845CA">
        <w:rPr>
          <w:rFonts w:ascii="Titillium" w:hAnsi="Titillium" w:cstheme="minorHAnsi"/>
          <w:sz w:val="20"/>
          <w:szCs w:val="20"/>
        </w:rPr>
        <w:t>.</w:t>
      </w:r>
    </w:p>
    <w:p w14:paraId="551E5129" w14:textId="372E1E70" w:rsidR="001845CA" w:rsidRPr="001845CA" w:rsidRDefault="001845CA" w:rsidP="00A77813">
      <w:pPr>
        <w:pStyle w:val="Titolo1"/>
        <w:spacing w:line="240" w:lineRule="auto"/>
        <w:ind w:left="-180"/>
        <w:rPr>
          <w:rFonts w:ascii="Titillium" w:hAnsi="Titillium"/>
          <w:sz w:val="20"/>
          <w:szCs w:val="20"/>
        </w:rPr>
      </w:pPr>
      <w:r w:rsidRPr="001845CA">
        <w:rPr>
          <w:rFonts w:ascii="Titillium" w:hAnsi="Titillium"/>
          <w:sz w:val="20"/>
          <w:szCs w:val="20"/>
        </w:rPr>
        <w:t>Art. 3</w:t>
      </w:r>
      <w:r w:rsidR="000C42A2">
        <w:rPr>
          <w:rFonts w:ascii="Titillium" w:hAnsi="Titillium"/>
          <w:sz w:val="20"/>
          <w:szCs w:val="20"/>
        </w:rPr>
        <w:t>0</w:t>
      </w:r>
      <w:r w:rsidRPr="001845CA">
        <w:rPr>
          <w:rFonts w:ascii="Titillium" w:hAnsi="Titillium"/>
          <w:sz w:val="20"/>
          <w:szCs w:val="20"/>
        </w:rPr>
        <w:t xml:space="preserve"> - Disposizioni Finali</w:t>
      </w:r>
    </w:p>
    <w:p w14:paraId="071C722E" w14:textId="7AFA3EAC" w:rsidR="001845CA" w:rsidRPr="001845CA" w:rsidRDefault="001845CA" w:rsidP="00A77813">
      <w:pPr>
        <w:tabs>
          <w:tab w:val="left" w:pos="0"/>
        </w:tabs>
        <w:spacing w:before="240" w:after="120"/>
        <w:ind w:left="-180"/>
        <w:jc w:val="both"/>
        <w:rPr>
          <w:rFonts w:ascii="Titillium" w:hAnsi="Titillium" w:cstheme="minorHAnsi"/>
          <w:color w:val="000000"/>
          <w:sz w:val="20"/>
          <w:szCs w:val="20"/>
        </w:rPr>
      </w:pPr>
      <w:r w:rsidRPr="001845CA">
        <w:rPr>
          <w:rFonts w:ascii="Titillium" w:hAnsi="Titillium" w:cstheme="minorHAnsi"/>
          <w:color w:val="000000"/>
          <w:sz w:val="20"/>
          <w:szCs w:val="20"/>
        </w:rPr>
        <w:t xml:space="preserve">Per quanto non previsto </w:t>
      </w:r>
      <w:r w:rsidR="00B61836">
        <w:rPr>
          <w:rFonts w:ascii="Titillium" w:hAnsi="Titillium" w:cstheme="minorHAnsi"/>
          <w:color w:val="000000"/>
          <w:sz w:val="20"/>
          <w:szCs w:val="20"/>
        </w:rPr>
        <w:t xml:space="preserve">dal presente </w:t>
      </w:r>
      <w:r w:rsidR="00CC5A7C">
        <w:rPr>
          <w:rFonts w:ascii="Titillium" w:hAnsi="Titillium" w:cstheme="minorHAnsi"/>
          <w:color w:val="000000"/>
          <w:sz w:val="20"/>
          <w:szCs w:val="20"/>
        </w:rPr>
        <w:t>accordo</w:t>
      </w:r>
      <w:r w:rsidR="00B61836">
        <w:rPr>
          <w:rFonts w:ascii="Titillium" w:hAnsi="Titillium" w:cstheme="minorHAnsi"/>
          <w:color w:val="000000"/>
          <w:sz w:val="20"/>
          <w:szCs w:val="20"/>
        </w:rPr>
        <w:t xml:space="preserve"> </w:t>
      </w:r>
      <w:r w:rsidRPr="001845CA">
        <w:rPr>
          <w:rFonts w:ascii="Titillium" w:hAnsi="Titillium" w:cstheme="minorHAnsi"/>
          <w:color w:val="000000"/>
          <w:sz w:val="20"/>
          <w:szCs w:val="20"/>
        </w:rPr>
        <w:t>si rinvia alle norme comunitarie e nazionali di riferimento.</w:t>
      </w:r>
    </w:p>
    <w:p w14:paraId="695511D8" w14:textId="77777777" w:rsidR="001845CA" w:rsidRPr="001845CA" w:rsidRDefault="001845CA" w:rsidP="00A77813">
      <w:pPr>
        <w:tabs>
          <w:tab w:val="left" w:pos="0"/>
        </w:tabs>
        <w:spacing w:before="240" w:after="120"/>
        <w:ind w:left="-180"/>
        <w:jc w:val="center"/>
        <w:rPr>
          <w:rFonts w:ascii="Titillium" w:hAnsi="Titillium" w:cstheme="minorHAnsi"/>
          <w:color w:val="000000"/>
          <w:sz w:val="20"/>
          <w:szCs w:val="20"/>
        </w:rPr>
      </w:pPr>
      <w:r w:rsidRPr="001845CA">
        <w:rPr>
          <w:rFonts w:ascii="Titillium" w:hAnsi="Titillium" w:cstheme="minorHAnsi"/>
          <w:color w:val="000000"/>
          <w:sz w:val="20"/>
          <w:szCs w:val="20"/>
        </w:rPr>
        <w:t>***</w:t>
      </w:r>
    </w:p>
    <w:p w14:paraId="7F9A8214" w14:textId="49CACEB8" w:rsidR="001845CA" w:rsidRDefault="001845CA" w:rsidP="00A77813">
      <w:pPr>
        <w:tabs>
          <w:tab w:val="left" w:pos="0"/>
        </w:tabs>
        <w:spacing w:before="240" w:after="120"/>
        <w:ind w:left="-180"/>
        <w:jc w:val="both"/>
        <w:rPr>
          <w:rFonts w:ascii="Titillium" w:hAnsi="Titillium" w:cstheme="minorHAnsi"/>
          <w:color w:val="000000"/>
          <w:sz w:val="20"/>
          <w:szCs w:val="20"/>
        </w:rPr>
      </w:pPr>
      <w:r w:rsidRPr="001845CA">
        <w:rPr>
          <w:rFonts w:ascii="Titillium" w:hAnsi="Titillium" w:cstheme="minorHAnsi"/>
          <w:color w:val="000000"/>
          <w:sz w:val="20"/>
          <w:szCs w:val="20"/>
        </w:rPr>
        <w:t xml:space="preserve">Il presente </w:t>
      </w:r>
      <w:r w:rsidR="00CC5A7C">
        <w:rPr>
          <w:rFonts w:ascii="Titillium" w:hAnsi="Titillium" w:cstheme="minorHAnsi"/>
          <w:color w:val="000000"/>
          <w:sz w:val="20"/>
          <w:szCs w:val="20"/>
        </w:rPr>
        <w:t>accordo</w:t>
      </w:r>
      <w:r w:rsidRPr="001845CA">
        <w:rPr>
          <w:rFonts w:ascii="Titillium" w:hAnsi="Titillium" w:cstheme="minorHAnsi"/>
          <w:color w:val="000000"/>
          <w:sz w:val="20"/>
          <w:szCs w:val="20"/>
        </w:rPr>
        <w:t xml:space="preserve"> è il risultato della negoziazione intercorsa tra le Parti ed è stato da queste congiuntamente redatto in n. 1 esemplare digitale che le Parti medesime, sottoscrivendo digitalmente il presente documento, dichiarano di approvare in ogni sua parte e per intero.</w:t>
      </w:r>
    </w:p>
    <w:p w14:paraId="66A18120" w14:textId="77777777" w:rsidR="00FE6FB9" w:rsidRDefault="00FE6FB9" w:rsidP="00A77813">
      <w:pPr>
        <w:tabs>
          <w:tab w:val="left" w:pos="0"/>
        </w:tabs>
        <w:spacing w:before="240" w:after="120"/>
        <w:ind w:left="-180"/>
        <w:jc w:val="both"/>
        <w:rPr>
          <w:rFonts w:ascii="Titillium" w:hAnsi="Titillium" w:cstheme="minorHAnsi"/>
          <w:color w:val="000000"/>
          <w:sz w:val="20"/>
          <w:szCs w:val="20"/>
        </w:rPr>
      </w:pPr>
    </w:p>
    <w:p w14:paraId="2474A2D4" w14:textId="77777777" w:rsidR="00FE6FB9" w:rsidRPr="00FE6FB9" w:rsidRDefault="00FE6FB9" w:rsidP="00A77813">
      <w:pPr>
        <w:tabs>
          <w:tab w:val="left" w:pos="0"/>
        </w:tabs>
        <w:spacing w:before="240" w:after="120"/>
        <w:ind w:left="-180"/>
        <w:jc w:val="both"/>
        <w:rPr>
          <w:rFonts w:ascii="Titillium" w:hAnsi="Titillium" w:cstheme="minorHAnsi"/>
          <w:color w:val="FF0000"/>
          <w:sz w:val="20"/>
          <w:szCs w:val="20"/>
        </w:rPr>
      </w:pPr>
    </w:p>
    <w:p w14:paraId="657D27B5" w14:textId="77777777" w:rsidR="001845CA" w:rsidRPr="001845CA" w:rsidRDefault="001845CA" w:rsidP="00A77813">
      <w:pPr>
        <w:ind w:left="-180"/>
        <w:jc w:val="both"/>
        <w:rPr>
          <w:rFonts w:ascii="Titillium" w:hAnsi="Titillium" w:cs="Arial"/>
          <w:i/>
          <w:sz w:val="20"/>
          <w:szCs w:val="20"/>
          <w:lang w:eastAsia="it-IT"/>
        </w:rPr>
      </w:pPr>
    </w:p>
    <w:p w14:paraId="2083DB51" w14:textId="77777777" w:rsidR="008A7148" w:rsidRPr="008B6381" w:rsidRDefault="001845CA" w:rsidP="00A77813">
      <w:pPr>
        <w:ind w:left="-180"/>
        <w:rPr>
          <w:rFonts w:ascii="Titillium" w:hAnsi="Titillium" w:cs="Arial"/>
          <w:b/>
          <w:bCs/>
          <w:i/>
          <w:sz w:val="20"/>
          <w:szCs w:val="20"/>
          <w:lang w:eastAsia="it-IT"/>
        </w:rPr>
      </w:pPr>
      <w:r w:rsidRPr="008B6381">
        <w:rPr>
          <w:rFonts w:ascii="Titillium" w:hAnsi="Titillium" w:cs="Arial"/>
          <w:b/>
          <w:bCs/>
          <w:i/>
          <w:sz w:val="20"/>
          <w:szCs w:val="20"/>
          <w:lang w:eastAsia="it-IT"/>
        </w:rPr>
        <w:t>Per l</w:t>
      </w:r>
      <w:r w:rsidR="008A7148" w:rsidRPr="008B6381">
        <w:rPr>
          <w:rFonts w:ascii="Titillium" w:hAnsi="Titillium" w:cs="Arial"/>
          <w:b/>
          <w:bCs/>
          <w:i/>
          <w:sz w:val="20"/>
          <w:szCs w:val="20"/>
          <w:lang w:eastAsia="it-IT"/>
        </w:rPr>
        <w:t xml:space="preserve">o </w:t>
      </w:r>
      <w:proofErr w:type="spellStart"/>
      <w:r w:rsidR="008A7148" w:rsidRPr="008B6381">
        <w:rPr>
          <w:rFonts w:ascii="Titillium" w:hAnsi="Titillium" w:cs="Arial"/>
          <w:b/>
          <w:bCs/>
          <w:i/>
          <w:sz w:val="20"/>
          <w:szCs w:val="20"/>
          <w:lang w:eastAsia="it-IT"/>
        </w:rPr>
        <w:t>Spoke</w:t>
      </w:r>
      <w:proofErr w:type="spellEnd"/>
      <w:r w:rsidR="008A7148" w:rsidRPr="008B6381">
        <w:rPr>
          <w:rFonts w:ascii="Titillium" w:hAnsi="Titillium" w:cs="Arial"/>
          <w:b/>
          <w:bCs/>
          <w:i/>
          <w:sz w:val="20"/>
          <w:szCs w:val="20"/>
          <w:lang w:eastAsia="it-IT"/>
        </w:rPr>
        <w:t xml:space="preserve"> …</w:t>
      </w:r>
    </w:p>
    <w:p w14:paraId="77CAFC8E" w14:textId="77777777" w:rsidR="008A7148" w:rsidRDefault="008A7148" w:rsidP="00A77813">
      <w:pPr>
        <w:ind w:left="-180"/>
        <w:rPr>
          <w:rFonts w:ascii="Titillium" w:hAnsi="Titillium" w:cs="Arial"/>
          <w:b/>
          <w:bCs/>
          <w:i/>
          <w:sz w:val="20"/>
          <w:szCs w:val="20"/>
          <w:lang w:eastAsia="it-IT"/>
        </w:rPr>
      </w:pPr>
      <w:r>
        <w:rPr>
          <w:rFonts w:ascii="Titillium" w:hAnsi="Titillium" w:cs="Arial"/>
          <w:b/>
          <w:bCs/>
          <w:i/>
          <w:sz w:val="20"/>
          <w:szCs w:val="20"/>
          <w:lang w:eastAsia="it-IT"/>
        </w:rPr>
        <w:t>……</w:t>
      </w:r>
    </w:p>
    <w:p w14:paraId="1477DA7B" w14:textId="77777777" w:rsidR="001845CA" w:rsidRPr="001845CA" w:rsidRDefault="001845CA" w:rsidP="00A77813">
      <w:pPr>
        <w:ind w:left="-180"/>
        <w:rPr>
          <w:rFonts w:ascii="Titillium" w:hAnsi="Titillium" w:cs="Arial"/>
          <w:b/>
          <w:bCs/>
          <w:i/>
          <w:sz w:val="20"/>
          <w:szCs w:val="20"/>
          <w:lang w:eastAsia="it-IT"/>
        </w:rPr>
      </w:pPr>
    </w:p>
    <w:p w14:paraId="6C60BF9E" w14:textId="23D7C0E5" w:rsidR="001845CA" w:rsidRPr="001845CA" w:rsidRDefault="001845CA" w:rsidP="00A77813">
      <w:pPr>
        <w:ind w:left="-180"/>
        <w:jc w:val="both"/>
        <w:rPr>
          <w:rFonts w:ascii="Titillium" w:hAnsi="Titillium" w:cs="Arial"/>
          <w:b/>
          <w:bCs/>
          <w:i/>
          <w:sz w:val="20"/>
          <w:szCs w:val="20"/>
          <w:lang w:eastAsia="it-IT"/>
        </w:rPr>
      </w:pPr>
      <w:r w:rsidRPr="001845CA">
        <w:rPr>
          <w:rFonts w:ascii="Titillium" w:hAnsi="Titillium" w:cs="Arial"/>
          <w:b/>
          <w:bCs/>
          <w:i/>
          <w:sz w:val="20"/>
          <w:szCs w:val="20"/>
          <w:lang w:eastAsia="it-IT"/>
        </w:rPr>
        <w:t xml:space="preserve">Parte n.1 </w:t>
      </w:r>
      <w:r w:rsidR="00555FCF">
        <w:rPr>
          <w:rFonts w:ascii="Titillium" w:hAnsi="Titillium" w:cs="Arial"/>
          <w:b/>
          <w:bCs/>
          <w:i/>
          <w:sz w:val="20"/>
          <w:szCs w:val="20"/>
          <w:lang w:eastAsia="it-IT"/>
        </w:rPr>
        <w:t>…</w:t>
      </w:r>
    </w:p>
    <w:p w14:paraId="56A40702" w14:textId="55056DA2" w:rsidR="001845CA" w:rsidRDefault="001845CA" w:rsidP="00A77813">
      <w:pPr>
        <w:ind w:left="-180"/>
        <w:jc w:val="both"/>
        <w:rPr>
          <w:rFonts w:ascii="Titillium" w:hAnsi="Titillium" w:cs="Arial"/>
          <w:b/>
          <w:bCs/>
          <w:i/>
          <w:sz w:val="20"/>
          <w:szCs w:val="20"/>
          <w:lang w:eastAsia="it-IT"/>
        </w:rPr>
      </w:pPr>
    </w:p>
    <w:p w14:paraId="3E9B35A7" w14:textId="4A893237" w:rsidR="001845CA" w:rsidRPr="001845CA" w:rsidRDefault="001845CA" w:rsidP="00A77813">
      <w:pPr>
        <w:ind w:left="-180"/>
        <w:jc w:val="both"/>
        <w:rPr>
          <w:rFonts w:ascii="Titillium" w:hAnsi="Titillium" w:cs="Arial"/>
          <w:b/>
          <w:bCs/>
          <w:i/>
          <w:sz w:val="20"/>
          <w:szCs w:val="20"/>
          <w:lang w:eastAsia="it-IT"/>
        </w:rPr>
      </w:pPr>
      <w:r w:rsidRPr="001845CA">
        <w:rPr>
          <w:rFonts w:ascii="Titillium" w:hAnsi="Titillium" w:cs="Arial"/>
          <w:b/>
          <w:bCs/>
          <w:i/>
          <w:sz w:val="20"/>
          <w:szCs w:val="20"/>
          <w:lang w:eastAsia="it-IT"/>
        </w:rPr>
        <w:lastRenderedPageBreak/>
        <w:t xml:space="preserve">Parte n.2 </w:t>
      </w:r>
      <w:r w:rsidR="00555FCF">
        <w:rPr>
          <w:rFonts w:ascii="Titillium" w:hAnsi="Titillium" w:cs="Arial"/>
          <w:b/>
          <w:bCs/>
          <w:i/>
          <w:sz w:val="20"/>
          <w:szCs w:val="20"/>
          <w:lang w:eastAsia="it-IT"/>
        </w:rPr>
        <w:t>…</w:t>
      </w:r>
    </w:p>
    <w:p w14:paraId="542D6D57" w14:textId="77777777" w:rsidR="001845CA" w:rsidRPr="001845CA" w:rsidRDefault="001845CA" w:rsidP="00A77813">
      <w:pPr>
        <w:ind w:left="-180"/>
        <w:jc w:val="both"/>
        <w:rPr>
          <w:rFonts w:ascii="Titillium" w:hAnsi="Titillium" w:cs="Arial"/>
          <w:b/>
          <w:bCs/>
          <w:i/>
          <w:sz w:val="20"/>
          <w:szCs w:val="20"/>
          <w:lang w:eastAsia="it-IT"/>
        </w:rPr>
      </w:pPr>
    </w:p>
    <w:p w14:paraId="2228A2B4" w14:textId="10B33B73" w:rsidR="001845CA" w:rsidRPr="001845CA" w:rsidRDefault="001845CA" w:rsidP="00A77813">
      <w:pPr>
        <w:ind w:left="-180"/>
        <w:jc w:val="both"/>
        <w:rPr>
          <w:rFonts w:ascii="Titillium" w:hAnsi="Titillium" w:cs="Arial"/>
          <w:b/>
          <w:bCs/>
          <w:i/>
          <w:sz w:val="20"/>
          <w:szCs w:val="20"/>
          <w:lang w:eastAsia="it-IT"/>
        </w:rPr>
      </w:pPr>
      <w:r w:rsidRPr="001845CA">
        <w:rPr>
          <w:rFonts w:ascii="Titillium" w:hAnsi="Titillium" w:cs="Arial"/>
          <w:b/>
          <w:bCs/>
          <w:i/>
          <w:sz w:val="20"/>
          <w:szCs w:val="20"/>
          <w:lang w:eastAsia="it-IT"/>
        </w:rPr>
        <w:t>Parte n.3</w:t>
      </w:r>
      <w:proofErr w:type="gramStart"/>
      <w:r w:rsidRPr="001845CA">
        <w:rPr>
          <w:rFonts w:ascii="Titillium" w:hAnsi="Titillium" w:cs="Arial"/>
          <w:b/>
          <w:bCs/>
          <w:i/>
          <w:sz w:val="20"/>
          <w:szCs w:val="20"/>
          <w:lang w:eastAsia="it-IT"/>
        </w:rPr>
        <w:t xml:space="preserve"> </w:t>
      </w:r>
      <w:r w:rsidR="00555FCF">
        <w:rPr>
          <w:rFonts w:ascii="Titillium" w:hAnsi="Titillium" w:cs="Arial"/>
          <w:b/>
          <w:bCs/>
          <w:i/>
          <w:sz w:val="20"/>
          <w:szCs w:val="20"/>
          <w:lang w:eastAsia="it-IT"/>
        </w:rPr>
        <w:t>..</w:t>
      </w:r>
      <w:proofErr w:type="gramEnd"/>
    </w:p>
    <w:p w14:paraId="0BF696D4" w14:textId="6DC88CA0" w:rsidR="001845CA" w:rsidRDefault="001845CA" w:rsidP="00A77813">
      <w:pPr>
        <w:ind w:left="-180"/>
        <w:jc w:val="both"/>
        <w:rPr>
          <w:rFonts w:ascii="Titillium" w:hAnsi="Titillium" w:cs="Arial"/>
          <w:b/>
          <w:bCs/>
          <w:i/>
          <w:sz w:val="20"/>
          <w:szCs w:val="20"/>
          <w:lang w:eastAsia="it-IT"/>
        </w:rPr>
      </w:pPr>
    </w:p>
    <w:p w14:paraId="722E71E3" w14:textId="5C33B289" w:rsidR="001845CA" w:rsidRPr="001845CA" w:rsidRDefault="001845CA" w:rsidP="00A77813">
      <w:pPr>
        <w:ind w:left="-180"/>
        <w:jc w:val="both"/>
        <w:rPr>
          <w:rFonts w:ascii="Titillium" w:hAnsi="Titillium" w:cs="Arial"/>
          <w:b/>
          <w:bCs/>
          <w:i/>
          <w:sz w:val="20"/>
          <w:szCs w:val="20"/>
          <w:lang w:eastAsia="it-IT"/>
        </w:rPr>
      </w:pPr>
      <w:r w:rsidRPr="001845CA">
        <w:rPr>
          <w:rFonts w:ascii="Titillium" w:hAnsi="Titillium" w:cs="Arial"/>
          <w:b/>
          <w:bCs/>
          <w:i/>
          <w:sz w:val="20"/>
          <w:szCs w:val="20"/>
          <w:lang w:eastAsia="it-IT"/>
        </w:rPr>
        <w:t xml:space="preserve">Parte </w:t>
      </w:r>
      <w:proofErr w:type="spellStart"/>
      <w:r w:rsidRPr="001845CA">
        <w:rPr>
          <w:rFonts w:ascii="Titillium" w:hAnsi="Titillium" w:cs="Arial"/>
          <w:b/>
          <w:bCs/>
          <w:i/>
          <w:sz w:val="20"/>
          <w:szCs w:val="20"/>
          <w:lang w:eastAsia="it-IT"/>
        </w:rPr>
        <w:t>n.</w:t>
      </w:r>
      <w:r w:rsidR="00555FCF">
        <w:rPr>
          <w:rFonts w:ascii="Titillium" w:hAnsi="Titillium" w:cs="Arial"/>
          <w:b/>
          <w:bCs/>
          <w:i/>
          <w:sz w:val="20"/>
          <w:szCs w:val="20"/>
          <w:lang w:eastAsia="it-IT"/>
        </w:rPr>
        <w:t>N</w:t>
      </w:r>
      <w:proofErr w:type="spellEnd"/>
      <w:r w:rsidRPr="001845CA">
        <w:rPr>
          <w:rFonts w:ascii="Titillium" w:hAnsi="Titillium" w:cs="Arial"/>
          <w:b/>
          <w:bCs/>
          <w:i/>
          <w:sz w:val="20"/>
          <w:szCs w:val="20"/>
          <w:lang w:eastAsia="it-IT"/>
        </w:rPr>
        <w:t xml:space="preserve"> </w:t>
      </w:r>
      <w:r w:rsidR="00555FCF">
        <w:rPr>
          <w:rFonts w:ascii="Titillium" w:hAnsi="Titillium" w:cs="Arial"/>
          <w:b/>
          <w:bCs/>
          <w:i/>
          <w:sz w:val="20"/>
          <w:szCs w:val="20"/>
          <w:lang w:eastAsia="it-IT"/>
        </w:rPr>
        <w:t>…</w:t>
      </w:r>
    </w:p>
    <w:p w14:paraId="7AD4091F" w14:textId="2A95C4EB" w:rsidR="001845CA" w:rsidRDefault="001845CA" w:rsidP="00A77813">
      <w:pPr>
        <w:ind w:left="-180"/>
        <w:jc w:val="both"/>
        <w:rPr>
          <w:rFonts w:ascii="Titillium" w:hAnsi="Titillium" w:cs="Arial"/>
          <w:b/>
          <w:bCs/>
          <w:i/>
          <w:sz w:val="20"/>
          <w:szCs w:val="20"/>
          <w:lang w:eastAsia="it-IT"/>
        </w:rPr>
      </w:pPr>
    </w:p>
    <w:p w14:paraId="4EB0255D" w14:textId="77777777" w:rsidR="001845CA" w:rsidRPr="001845CA" w:rsidRDefault="001845CA" w:rsidP="00A77813">
      <w:pPr>
        <w:ind w:left="-180"/>
        <w:jc w:val="both"/>
        <w:rPr>
          <w:rFonts w:ascii="Titillium" w:hAnsi="Titillium" w:cs="Arial"/>
          <w:b/>
          <w:bCs/>
          <w:i/>
          <w:sz w:val="20"/>
          <w:szCs w:val="20"/>
          <w:lang w:eastAsia="it-IT"/>
        </w:rPr>
      </w:pPr>
    </w:p>
    <w:p w14:paraId="336EED9D" w14:textId="77777777" w:rsidR="001845CA" w:rsidRPr="001845CA" w:rsidRDefault="001845CA" w:rsidP="00A77813">
      <w:pPr>
        <w:ind w:left="-180"/>
        <w:jc w:val="both"/>
        <w:rPr>
          <w:rFonts w:ascii="Titillium" w:hAnsi="Titillium" w:cs="Arial"/>
          <w:b/>
          <w:bCs/>
          <w:i/>
          <w:sz w:val="20"/>
          <w:szCs w:val="20"/>
          <w:lang w:eastAsia="it-IT"/>
        </w:rPr>
      </w:pPr>
    </w:p>
    <w:p w14:paraId="689FF30E" w14:textId="77777777" w:rsidR="001845CA" w:rsidRPr="001845CA" w:rsidRDefault="001845CA" w:rsidP="00A77813">
      <w:pPr>
        <w:ind w:left="-180"/>
        <w:jc w:val="both"/>
        <w:rPr>
          <w:rFonts w:ascii="Titillium" w:hAnsi="Titillium" w:cs="Arial"/>
          <w:b/>
          <w:bCs/>
          <w:iCs/>
          <w:sz w:val="20"/>
          <w:szCs w:val="20"/>
          <w:u w:val="single"/>
          <w:lang w:eastAsia="it-IT"/>
        </w:rPr>
      </w:pPr>
      <w:r w:rsidRPr="001845CA">
        <w:rPr>
          <w:rFonts w:ascii="Titillium" w:hAnsi="Titillium" w:cs="Arial"/>
          <w:b/>
          <w:bCs/>
          <w:iCs/>
          <w:sz w:val="20"/>
          <w:szCs w:val="20"/>
          <w:u w:val="single"/>
          <w:lang w:eastAsia="it-IT"/>
        </w:rPr>
        <w:t>Allegati:</w:t>
      </w:r>
    </w:p>
    <w:p w14:paraId="07A7F44B" w14:textId="0D28D3BD" w:rsidR="001845CA" w:rsidRDefault="00555FCF" w:rsidP="00A77813">
      <w:pPr>
        <w:ind w:left="-180"/>
        <w:jc w:val="both"/>
        <w:rPr>
          <w:rFonts w:ascii="Titillium" w:hAnsi="Titillium" w:cs="Arial"/>
          <w:i/>
          <w:sz w:val="20"/>
          <w:szCs w:val="20"/>
          <w:lang w:eastAsia="it-IT"/>
        </w:rPr>
      </w:pPr>
      <w:r>
        <w:rPr>
          <w:rFonts w:ascii="Titillium" w:hAnsi="Titillium" w:cs="Arial"/>
          <w:i/>
          <w:sz w:val="20"/>
          <w:szCs w:val="20"/>
          <w:lang w:eastAsia="it-IT"/>
        </w:rPr>
        <w:t>…</w:t>
      </w:r>
    </w:p>
    <w:p w14:paraId="77B1925D" w14:textId="77777777" w:rsidR="00555FCF" w:rsidRDefault="00555FCF" w:rsidP="00A77813">
      <w:pPr>
        <w:ind w:left="-180"/>
        <w:jc w:val="both"/>
        <w:rPr>
          <w:rFonts w:ascii="Titillium" w:hAnsi="Titillium" w:cs="Arial"/>
          <w:i/>
          <w:sz w:val="20"/>
          <w:szCs w:val="20"/>
          <w:lang w:eastAsia="it-IT"/>
        </w:rPr>
      </w:pPr>
    </w:p>
    <w:p w14:paraId="73E7B973" w14:textId="446615B3" w:rsidR="00555FCF" w:rsidRDefault="00555FCF" w:rsidP="00A77813">
      <w:pPr>
        <w:ind w:left="-180"/>
        <w:jc w:val="both"/>
        <w:rPr>
          <w:rFonts w:ascii="Titillium" w:hAnsi="Titillium" w:cs="Arial"/>
          <w:i/>
          <w:sz w:val="20"/>
          <w:szCs w:val="20"/>
          <w:lang w:eastAsia="it-IT"/>
        </w:rPr>
      </w:pPr>
      <w:r>
        <w:rPr>
          <w:rFonts w:ascii="Titillium" w:hAnsi="Titillium" w:cs="Arial"/>
          <w:i/>
          <w:sz w:val="20"/>
          <w:szCs w:val="20"/>
          <w:lang w:eastAsia="it-IT"/>
        </w:rPr>
        <w:t>…</w:t>
      </w:r>
    </w:p>
    <w:p w14:paraId="1B2873E8" w14:textId="508723AB" w:rsidR="00555FCF" w:rsidRDefault="00555FCF" w:rsidP="00A77813">
      <w:pPr>
        <w:ind w:left="-180"/>
        <w:jc w:val="both"/>
        <w:rPr>
          <w:rFonts w:ascii="Titillium" w:hAnsi="Titillium" w:cs="Arial"/>
          <w:i/>
          <w:sz w:val="20"/>
          <w:szCs w:val="20"/>
          <w:lang w:eastAsia="it-IT"/>
        </w:rPr>
      </w:pPr>
      <w:r>
        <w:rPr>
          <w:rFonts w:ascii="Titillium" w:hAnsi="Titillium" w:cs="Arial"/>
          <w:i/>
          <w:sz w:val="20"/>
          <w:szCs w:val="20"/>
          <w:lang w:eastAsia="it-IT"/>
        </w:rPr>
        <w:t>…</w:t>
      </w:r>
    </w:p>
    <w:p w14:paraId="4D493A0D" w14:textId="77777777" w:rsidR="00555FCF" w:rsidRDefault="00555FCF" w:rsidP="00A77813">
      <w:pPr>
        <w:ind w:left="-180"/>
        <w:jc w:val="both"/>
        <w:rPr>
          <w:rFonts w:ascii="Titillium" w:hAnsi="Titillium" w:cs="Arial"/>
          <w:i/>
          <w:sz w:val="20"/>
          <w:szCs w:val="20"/>
          <w:lang w:eastAsia="it-IT"/>
        </w:rPr>
      </w:pPr>
    </w:p>
    <w:p w14:paraId="27A1FA66" w14:textId="77777777" w:rsidR="00555FCF" w:rsidRPr="001845CA" w:rsidRDefault="00555FCF" w:rsidP="00A77813">
      <w:pPr>
        <w:ind w:left="-180"/>
        <w:jc w:val="both"/>
        <w:rPr>
          <w:rFonts w:ascii="Titillium" w:hAnsi="Titillium" w:cs="Arial"/>
          <w:i/>
          <w:sz w:val="20"/>
          <w:szCs w:val="20"/>
          <w:lang w:eastAsia="it-IT"/>
        </w:rPr>
      </w:pPr>
    </w:p>
    <w:p w14:paraId="515397F1" w14:textId="77777777" w:rsidR="001845CA" w:rsidRPr="001845CA" w:rsidRDefault="001845CA" w:rsidP="00A77813">
      <w:pPr>
        <w:ind w:left="-180"/>
        <w:jc w:val="both"/>
        <w:rPr>
          <w:rFonts w:ascii="Titillium" w:hAnsi="Titillium" w:cs="Arial"/>
          <w:i/>
          <w:sz w:val="20"/>
          <w:szCs w:val="20"/>
          <w:lang w:eastAsia="it-IT"/>
        </w:rPr>
      </w:pPr>
      <w:r w:rsidRPr="001845CA">
        <w:rPr>
          <w:rFonts w:ascii="Titillium" w:hAnsi="Titillium" w:cs="Arial"/>
          <w:i/>
          <w:sz w:val="20"/>
          <w:szCs w:val="20"/>
          <w:lang w:eastAsia="it-IT"/>
        </w:rPr>
        <w:t>FIRMATO DIGITALMENTE*</w:t>
      </w:r>
      <w:r w:rsidRPr="001845CA">
        <w:rPr>
          <w:rFonts w:ascii="Titillium" w:hAnsi="Titillium" w:cs="Arial"/>
          <w:i/>
          <w:sz w:val="20"/>
          <w:szCs w:val="20"/>
          <w:lang w:eastAsia="it-IT"/>
        </w:rPr>
        <w:tab/>
      </w:r>
    </w:p>
    <w:p w14:paraId="0EF8E952" w14:textId="77777777" w:rsidR="001845CA" w:rsidRPr="001845CA" w:rsidRDefault="001845CA" w:rsidP="00A77813">
      <w:pPr>
        <w:ind w:left="-180"/>
        <w:jc w:val="both"/>
        <w:rPr>
          <w:rFonts w:ascii="Titillium" w:hAnsi="Titillium" w:cs="Arial"/>
          <w:i/>
          <w:sz w:val="20"/>
          <w:szCs w:val="20"/>
          <w:lang w:eastAsia="it-IT"/>
        </w:rPr>
      </w:pPr>
      <w:r w:rsidRPr="001845CA">
        <w:rPr>
          <w:rFonts w:ascii="Titillium" w:hAnsi="Titillium" w:cs="Arial"/>
          <w:i/>
          <w:sz w:val="20"/>
          <w:szCs w:val="20"/>
          <w:lang w:eastAsia="it-IT"/>
        </w:rPr>
        <w:t>* La data di stipula coincide con la data di apposizione dell’ultima firma digitale.</w:t>
      </w:r>
    </w:p>
    <w:p w14:paraId="7E1BB06C" w14:textId="77777777" w:rsidR="001845CA" w:rsidRPr="001845CA" w:rsidRDefault="001845CA" w:rsidP="00A77813">
      <w:pPr>
        <w:ind w:left="-180"/>
        <w:jc w:val="both"/>
        <w:rPr>
          <w:rFonts w:ascii="Titillium" w:hAnsi="Titillium"/>
          <w:sz w:val="20"/>
          <w:szCs w:val="20"/>
        </w:rPr>
      </w:pPr>
      <w:r w:rsidRPr="001845CA">
        <w:rPr>
          <w:rFonts w:ascii="Titillium" w:hAnsi="Titillium" w:cs="Arial"/>
          <w:i/>
          <w:sz w:val="20"/>
          <w:szCs w:val="20"/>
          <w:lang w:eastAsia="it-IT"/>
        </w:rPr>
        <w:t xml:space="preserve">* Documento sottoscritto con firma digitale ai sensi del </w:t>
      </w:r>
      <w:proofErr w:type="spellStart"/>
      <w:r w:rsidRPr="001845CA">
        <w:rPr>
          <w:rFonts w:ascii="Titillium" w:hAnsi="Titillium" w:cs="Arial"/>
          <w:i/>
          <w:sz w:val="20"/>
          <w:szCs w:val="20"/>
          <w:lang w:eastAsia="it-IT"/>
        </w:rPr>
        <w:t>D.Lgs.</w:t>
      </w:r>
      <w:proofErr w:type="spellEnd"/>
      <w:r w:rsidRPr="001845CA">
        <w:rPr>
          <w:rFonts w:ascii="Titillium" w:hAnsi="Titillium" w:cs="Arial"/>
          <w:i/>
          <w:sz w:val="20"/>
          <w:szCs w:val="20"/>
          <w:lang w:eastAsia="it-IT"/>
        </w:rPr>
        <w:t xml:space="preserve"> 7 marzo 2005, n. 82 e del D.P.C.M. 22 febbraio 2013 e </w:t>
      </w:r>
      <w:proofErr w:type="spellStart"/>
      <w:r w:rsidRPr="001845CA">
        <w:rPr>
          <w:rFonts w:ascii="Titillium" w:hAnsi="Titillium" w:cs="Arial"/>
          <w:i/>
          <w:sz w:val="20"/>
          <w:szCs w:val="20"/>
          <w:lang w:eastAsia="it-IT"/>
        </w:rPr>
        <w:t>ss.mm.ii</w:t>
      </w:r>
      <w:proofErr w:type="spellEnd"/>
      <w:r w:rsidRPr="001845CA">
        <w:rPr>
          <w:rFonts w:ascii="Titillium" w:hAnsi="Titillium" w:cs="Arial"/>
          <w:i/>
          <w:sz w:val="20"/>
          <w:szCs w:val="20"/>
          <w:lang w:eastAsia="it-IT"/>
        </w:rPr>
        <w:t>.</w:t>
      </w:r>
    </w:p>
    <w:p w14:paraId="6B54F0FB" w14:textId="5C978BF1" w:rsidR="00A2632A" w:rsidRDefault="00A2632A" w:rsidP="00A77813">
      <w:pPr>
        <w:ind w:left="-180"/>
        <w:rPr>
          <w:rFonts w:ascii="Titillium" w:hAnsi="Titillium"/>
          <w:sz w:val="20"/>
          <w:szCs w:val="20"/>
        </w:rPr>
      </w:pPr>
    </w:p>
    <w:p w14:paraId="6160949D" w14:textId="77777777" w:rsidR="00AF3030" w:rsidRDefault="00AF3030" w:rsidP="00A77813">
      <w:pPr>
        <w:ind w:left="-180"/>
        <w:rPr>
          <w:rFonts w:ascii="Titillium" w:hAnsi="Titillium"/>
          <w:sz w:val="20"/>
          <w:szCs w:val="20"/>
        </w:rPr>
      </w:pPr>
    </w:p>
    <w:sectPr w:rsidR="00AF3030" w:rsidSect="00B0269C">
      <w:headerReference w:type="default" r:id="rId12"/>
      <w:footerReference w:type="default" r:id="rId13"/>
      <w:pgSz w:w="11900" w:h="16840"/>
      <w:pgMar w:top="2920" w:right="703" w:bottom="1134" w:left="1134" w:header="2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78F5" w14:textId="77777777" w:rsidR="00A209C8" w:rsidRDefault="00A209C8" w:rsidP="000151A3">
      <w:r>
        <w:separator/>
      </w:r>
    </w:p>
  </w:endnote>
  <w:endnote w:type="continuationSeparator" w:id="0">
    <w:p w14:paraId="69B972A6" w14:textId="77777777" w:rsidR="00A209C8" w:rsidRDefault="00A209C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367B141B" w:rsidR="000151A3" w:rsidRDefault="006C1722" w:rsidP="000151A3">
    <w:pPr>
      <w:pStyle w:val="Pidipagina"/>
      <w:tabs>
        <w:tab w:val="clear" w:pos="9638"/>
      </w:tabs>
      <w:ind w:left="-1134"/>
    </w:pPr>
    <w:r>
      <w:rPr>
        <w:noProof/>
      </w:rPr>
      <mc:AlternateContent>
        <mc:Choice Requires="wps">
          <w:drawing>
            <wp:anchor distT="0" distB="0" distL="114300" distR="114300" simplePos="0" relativeHeight="251664384" behindDoc="0" locked="0" layoutInCell="1" allowOverlap="1" wp14:anchorId="2E9025C9" wp14:editId="4DA02834">
              <wp:simplePos x="0" y="0"/>
              <wp:positionH relativeFrom="column">
                <wp:posOffset>1383030</wp:posOffset>
              </wp:positionH>
              <wp:positionV relativeFrom="paragraph">
                <wp:posOffset>530860</wp:posOffset>
              </wp:positionV>
              <wp:extent cx="2255520" cy="5353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55520" cy="535305"/>
                      </a:xfrm>
                      <a:prstGeom prst="rect">
                        <a:avLst/>
                      </a:prstGeom>
                      <a:noFill/>
                      <a:ln w="6350">
                        <a:noFill/>
                      </a:ln>
                    </wps:spPr>
                    <wps:txbx>
                      <w:txbxContent>
                        <w:p w14:paraId="68C325AB" w14:textId="2751F44D" w:rsidR="00B812C7" w:rsidRPr="00B812C7" w:rsidRDefault="00B812C7" w:rsidP="00B812C7">
                          <w:pPr>
                            <w:rPr>
                              <w:rFonts w:ascii="Titillium" w:hAnsi="Titillium" w:cstheme="minorHAnsi"/>
                              <w:b/>
                              <w:bCs/>
                              <w:color w:val="1F3864" w:themeColor="accent1" w:themeShade="80"/>
                              <w:sz w:val="12"/>
                              <w:szCs w:val="12"/>
                              <w:lang w:val="en-US"/>
                            </w:rPr>
                          </w:pPr>
                          <w:r>
                            <w:rPr>
                              <w:rFonts w:ascii="Titillium" w:hAnsi="Titillium" w:cstheme="minorHAnsi"/>
                              <w:b/>
                              <w:bCs/>
                              <w:color w:val="1F3864" w:themeColor="accent1" w:themeShade="80"/>
                              <w:sz w:val="12"/>
                              <w:szCs w:val="12"/>
                              <w:lang w:val="en-US"/>
                            </w:rPr>
                            <w:t xml:space="preserve">FONDAZIONE RESTART - </w:t>
                          </w:r>
                          <w:r w:rsidRPr="00B812C7">
                            <w:rPr>
                              <w:rFonts w:ascii="Titillium" w:hAnsi="Titillium" w:cstheme="minorHAnsi"/>
                              <w:b/>
                              <w:bCs/>
                              <w:color w:val="1F3864" w:themeColor="accent1" w:themeShade="80"/>
                              <w:sz w:val="12"/>
                              <w:szCs w:val="12"/>
                              <w:lang w:val="en-US"/>
                            </w:rPr>
                            <w:t>PE00</w:t>
                          </w:r>
                          <w:r w:rsidR="00407338">
                            <w:rPr>
                              <w:rFonts w:ascii="Titillium" w:hAnsi="Titillium" w:cstheme="minorHAnsi"/>
                              <w:b/>
                              <w:bCs/>
                              <w:color w:val="1F3864" w:themeColor="accent1" w:themeShade="80"/>
                              <w:sz w:val="12"/>
                              <w:szCs w:val="12"/>
                              <w:lang w:val="en-US"/>
                            </w:rPr>
                            <w:t>0</w:t>
                          </w:r>
                          <w:r w:rsidRPr="00B812C7">
                            <w:rPr>
                              <w:rFonts w:ascii="Titillium" w:hAnsi="Titillium" w:cstheme="minorHAnsi"/>
                              <w:b/>
                              <w:bCs/>
                              <w:color w:val="1F3864" w:themeColor="accent1" w:themeShade="80"/>
                              <w:sz w:val="12"/>
                              <w:szCs w:val="12"/>
                              <w:lang w:val="en-US"/>
                            </w:rPr>
                            <w:t>00001</w:t>
                          </w:r>
                          <w:r>
                            <w:rPr>
                              <w:rFonts w:ascii="Titillium" w:hAnsi="Titillium" w:cstheme="minorHAnsi"/>
                              <w:b/>
                              <w:bCs/>
                              <w:color w:val="1F3864" w:themeColor="accent1" w:themeShade="80"/>
                              <w:sz w:val="12"/>
                              <w:szCs w:val="12"/>
                              <w:lang w:val="en-US"/>
                            </w:rPr>
                            <w:t xml:space="preserve"> </w:t>
                          </w:r>
                          <w:r w:rsidR="006C1722">
                            <w:rPr>
                              <w:rFonts w:ascii="Titillium" w:hAnsi="Titillium" w:cstheme="minorHAnsi"/>
                              <w:b/>
                              <w:bCs/>
                              <w:color w:val="1F3864" w:themeColor="accent1" w:themeShade="80"/>
                              <w:sz w:val="12"/>
                              <w:szCs w:val="12"/>
                              <w:lang w:val="en-US"/>
                            </w:rPr>
                            <w:t>–</w:t>
                          </w:r>
                          <w:r w:rsidR="00DC262A">
                            <w:rPr>
                              <w:rFonts w:ascii="Titillium" w:hAnsi="Titillium" w:cstheme="minorHAnsi"/>
                              <w:b/>
                              <w:bCs/>
                              <w:color w:val="1F3864" w:themeColor="accent1" w:themeShade="80"/>
                              <w:sz w:val="12"/>
                              <w:szCs w:val="12"/>
                              <w:lang w:val="en-US"/>
                            </w:rPr>
                            <w:t xml:space="preserve"> CF</w:t>
                          </w:r>
                          <w:r w:rsidR="006C1722" w:rsidRPr="003A5898">
                            <w:rPr>
                              <w:lang w:val="en-US"/>
                            </w:rPr>
                            <w:t xml:space="preserve"> </w:t>
                          </w:r>
                          <w:r w:rsidR="006C1722" w:rsidRPr="006C1722">
                            <w:rPr>
                              <w:rFonts w:ascii="Titillium" w:hAnsi="Titillium" w:cstheme="minorHAnsi"/>
                              <w:b/>
                              <w:bCs/>
                              <w:color w:val="1F3864" w:themeColor="accent1" w:themeShade="80"/>
                              <w:sz w:val="12"/>
                              <w:szCs w:val="12"/>
                              <w:lang w:val="en-US"/>
                            </w:rPr>
                            <w:t>96542900582</w:t>
                          </w:r>
                        </w:p>
                        <w:p w14:paraId="46441386" w14:textId="77777777" w:rsidR="00B301F3" w:rsidRPr="00B812C7" w:rsidRDefault="00B301F3" w:rsidP="00B301F3">
                          <w:pPr>
                            <w:pStyle w:val="Intestazione"/>
                            <w:rPr>
                              <w:rFonts w:ascii="Titillium" w:hAnsi="Titillium" w:cstheme="minorHAnsi"/>
                              <w:b/>
                              <w:bCs/>
                              <w:color w:val="1F3864" w:themeColor="accent1" w:themeShade="80"/>
                              <w:sz w:val="12"/>
                              <w:szCs w:val="12"/>
                              <w:lang w:val="en-US"/>
                            </w:rPr>
                          </w:pPr>
                          <w:proofErr w:type="spellStart"/>
                          <w:r w:rsidRPr="00B812C7">
                            <w:rPr>
                              <w:rFonts w:ascii="Titillium" w:hAnsi="Titillium" w:cstheme="minorHAnsi"/>
                              <w:b/>
                              <w:bCs/>
                              <w:color w:val="1F3864" w:themeColor="accent1" w:themeShade="80"/>
                              <w:sz w:val="12"/>
                              <w:szCs w:val="12"/>
                              <w:lang w:val="en-US"/>
                            </w:rPr>
                            <w:t>RESearch</w:t>
                          </w:r>
                          <w:proofErr w:type="spellEnd"/>
                          <w:r w:rsidRPr="00B812C7">
                            <w:rPr>
                              <w:rFonts w:ascii="Titillium" w:hAnsi="Titillium" w:cstheme="minorHAnsi"/>
                              <w:b/>
                              <w:bCs/>
                              <w:color w:val="1F3864" w:themeColor="accent1" w:themeShade="80"/>
                              <w:sz w:val="12"/>
                              <w:szCs w:val="12"/>
                              <w:lang w:val="en-US"/>
                            </w:rPr>
                            <w:t xml:space="preserve"> and innovation on future Telecommunications </w:t>
                          </w:r>
                        </w:p>
                        <w:p w14:paraId="5DDCC35B" w14:textId="29675FC2" w:rsidR="00B812C7" w:rsidRDefault="00B301F3" w:rsidP="00B301F3">
                          <w:pPr>
                            <w:rPr>
                              <w:rFonts w:ascii="Titillium" w:hAnsi="Titillium" w:cstheme="minorHAnsi"/>
                              <w:b/>
                              <w:bCs/>
                              <w:color w:val="1F3864" w:themeColor="accent1" w:themeShade="80"/>
                              <w:sz w:val="12"/>
                              <w:szCs w:val="12"/>
                              <w:lang w:val="en-US"/>
                            </w:rPr>
                          </w:pPr>
                          <w:r w:rsidRPr="00B812C7">
                            <w:rPr>
                              <w:rFonts w:ascii="Titillium" w:hAnsi="Titillium" w:cstheme="minorHAnsi"/>
                              <w:b/>
                              <w:bCs/>
                              <w:color w:val="1F3864" w:themeColor="accent1" w:themeShade="80"/>
                              <w:sz w:val="12"/>
                              <w:szCs w:val="12"/>
                              <w:lang w:val="en-US"/>
                            </w:rPr>
                            <w:t xml:space="preserve">systems and networks, to make Italy more </w:t>
                          </w:r>
                          <w:proofErr w:type="spellStart"/>
                          <w:proofErr w:type="gramStart"/>
                          <w:r w:rsidRPr="00B812C7">
                            <w:rPr>
                              <w:rFonts w:ascii="Titillium" w:hAnsi="Titillium" w:cstheme="minorHAnsi"/>
                              <w:b/>
                              <w:bCs/>
                              <w:color w:val="1F3864" w:themeColor="accent1" w:themeShade="80"/>
                              <w:sz w:val="12"/>
                              <w:szCs w:val="12"/>
                              <w:lang w:val="en-US"/>
                            </w:rPr>
                            <w:t>smAR</w:t>
                          </w:r>
                          <w:r w:rsidR="00B812C7">
                            <w:rPr>
                              <w:rFonts w:ascii="Titillium" w:hAnsi="Titillium" w:cstheme="minorHAnsi"/>
                              <w:b/>
                              <w:bCs/>
                              <w:color w:val="1F3864" w:themeColor="accent1" w:themeShade="80"/>
                              <w:sz w:val="12"/>
                              <w:szCs w:val="12"/>
                              <w:lang w:val="en-US"/>
                            </w:rPr>
                            <w:t>T</w:t>
                          </w:r>
                          <w:proofErr w:type="spellEnd"/>
                          <w:proofErr w:type="gramEnd"/>
                        </w:p>
                        <w:p w14:paraId="620ADD40" w14:textId="77777777" w:rsidR="00C604F6" w:rsidRDefault="00C604F6" w:rsidP="00C604F6">
                          <w:pPr>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www.fondazione-restart.it</w:t>
                          </w:r>
                        </w:p>
                        <w:p w14:paraId="7DD15084" w14:textId="77777777" w:rsidR="00C604F6" w:rsidRPr="00B812C7" w:rsidRDefault="00C604F6" w:rsidP="00B301F3">
                          <w:pPr>
                            <w:rPr>
                              <w:rFonts w:ascii="Titillium" w:hAnsi="Titillium" w:cstheme="minorHAnsi"/>
                              <w:b/>
                              <w:bCs/>
                              <w:color w:val="1F3864" w:themeColor="accent1" w:themeShade="80"/>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025C9" id="_x0000_t202" coordsize="21600,21600" o:spt="202" path="m,l,21600r21600,l21600,xe">
              <v:stroke joinstyle="miter"/>
              <v:path gradientshapeok="t" o:connecttype="rect"/>
            </v:shapetype>
            <v:shape id="Text Box 2" o:spid="_x0000_s1026" type="#_x0000_t202" style="position:absolute;left:0;text-align:left;margin-left:108.9pt;margin-top:41.8pt;width:177.6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" filled="f" stroked="f" strokeweight=".5pt">
              <v:textbox>
                <w:txbxContent>
                  <w:p w14:paraId="68C325AB" w14:textId="2751F44D" w:rsidR="00B812C7" w:rsidRPr="00B812C7" w:rsidRDefault="00B812C7" w:rsidP="00B812C7">
                    <w:pPr>
                      <w:rPr>
                        <w:rFonts w:ascii="Titillium" w:hAnsi="Titillium" w:cstheme="minorHAnsi"/>
                        <w:b/>
                        <w:bCs/>
                        <w:color w:val="1F3864" w:themeColor="accent1" w:themeShade="80"/>
                        <w:sz w:val="12"/>
                        <w:szCs w:val="12"/>
                        <w:lang w:val="en-US"/>
                      </w:rPr>
                    </w:pPr>
                    <w:r>
                      <w:rPr>
                        <w:rFonts w:ascii="Titillium" w:hAnsi="Titillium" w:cstheme="minorHAnsi"/>
                        <w:b/>
                        <w:bCs/>
                        <w:color w:val="1F3864" w:themeColor="accent1" w:themeShade="80"/>
                        <w:sz w:val="12"/>
                        <w:szCs w:val="12"/>
                        <w:lang w:val="en-US"/>
                      </w:rPr>
                      <w:t xml:space="preserve">FONDAZIONE RESTART - </w:t>
                    </w:r>
                    <w:r w:rsidRPr="00B812C7">
                      <w:rPr>
                        <w:rFonts w:ascii="Titillium" w:hAnsi="Titillium" w:cstheme="minorHAnsi"/>
                        <w:b/>
                        <w:bCs/>
                        <w:color w:val="1F3864" w:themeColor="accent1" w:themeShade="80"/>
                        <w:sz w:val="12"/>
                        <w:szCs w:val="12"/>
                        <w:lang w:val="en-US"/>
                      </w:rPr>
                      <w:t>PE00</w:t>
                    </w:r>
                    <w:r w:rsidR="00407338">
                      <w:rPr>
                        <w:rFonts w:ascii="Titillium" w:hAnsi="Titillium" w:cstheme="minorHAnsi"/>
                        <w:b/>
                        <w:bCs/>
                        <w:color w:val="1F3864" w:themeColor="accent1" w:themeShade="80"/>
                        <w:sz w:val="12"/>
                        <w:szCs w:val="12"/>
                        <w:lang w:val="en-US"/>
                      </w:rPr>
                      <w:t>0</w:t>
                    </w:r>
                    <w:r w:rsidRPr="00B812C7">
                      <w:rPr>
                        <w:rFonts w:ascii="Titillium" w:hAnsi="Titillium" w:cstheme="minorHAnsi"/>
                        <w:b/>
                        <w:bCs/>
                        <w:color w:val="1F3864" w:themeColor="accent1" w:themeShade="80"/>
                        <w:sz w:val="12"/>
                        <w:szCs w:val="12"/>
                        <w:lang w:val="en-US"/>
                      </w:rPr>
                      <w:t>00001</w:t>
                    </w:r>
                    <w:r>
                      <w:rPr>
                        <w:rFonts w:ascii="Titillium" w:hAnsi="Titillium" w:cstheme="minorHAnsi"/>
                        <w:b/>
                        <w:bCs/>
                        <w:color w:val="1F3864" w:themeColor="accent1" w:themeShade="80"/>
                        <w:sz w:val="12"/>
                        <w:szCs w:val="12"/>
                        <w:lang w:val="en-US"/>
                      </w:rPr>
                      <w:t xml:space="preserve"> </w:t>
                    </w:r>
                    <w:r w:rsidR="006C1722">
                      <w:rPr>
                        <w:rFonts w:ascii="Titillium" w:hAnsi="Titillium" w:cstheme="minorHAnsi"/>
                        <w:b/>
                        <w:bCs/>
                        <w:color w:val="1F3864" w:themeColor="accent1" w:themeShade="80"/>
                        <w:sz w:val="12"/>
                        <w:szCs w:val="12"/>
                        <w:lang w:val="en-US"/>
                      </w:rPr>
                      <w:t>–</w:t>
                    </w:r>
                    <w:r w:rsidR="00DC262A">
                      <w:rPr>
                        <w:rFonts w:ascii="Titillium" w:hAnsi="Titillium" w:cstheme="minorHAnsi"/>
                        <w:b/>
                        <w:bCs/>
                        <w:color w:val="1F3864" w:themeColor="accent1" w:themeShade="80"/>
                        <w:sz w:val="12"/>
                        <w:szCs w:val="12"/>
                        <w:lang w:val="en-US"/>
                      </w:rPr>
                      <w:t xml:space="preserve"> CF</w:t>
                    </w:r>
                    <w:r w:rsidR="006C1722" w:rsidRPr="003A5898">
                      <w:rPr>
                        <w:lang w:val="en-US"/>
                      </w:rPr>
                      <w:t xml:space="preserve"> </w:t>
                    </w:r>
                    <w:r w:rsidR="006C1722" w:rsidRPr="006C1722">
                      <w:rPr>
                        <w:rFonts w:ascii="Titillium" w:hAnsi="Titillium" w:cstheme="minorHAnsi"/>
                        <w:b/>
                        <w:bCs/>
                        <w:color w:val="1F3864" w:themeColor="accent1" w:themeShade="80"/>
                        <w:sz w:val="12"/>
                        <w:szCs w:val="12"/>
                        <w:lang w:val="en-US"/>
                      </w:rPr>
                      <w:t>96542900582</w:t>
                    </w:r>
                  </w:p>
                  <w:p w14:paraId="46441386" w14:textId="77777777" w:rsidR="00B301F3" w:rsidRPr="00B812C7" w:rsidRDefault="00B301F3" w:rsidP="00B301F3">
                    <w:pPr>
                      <w:pStyle w:val="Intestazione"/>
                      <w:rPr>
                        <w:rFonts w:ascii="Titillium" w:hAnsi="Titillium" w:cstheme="minorHAnsi"/>
                        <w:b/>
                        <w:bCs/>
                        <w:color w:val="1F3864" w:themeColor="accent1" w:themeShade="80"/>
                        <w:sz w:val="12"/>
                        <w:szCs w:val="12"/>
                        <w:lang w:val="en-US"/>
                      </w:rPr>
                    </w:pPr>
                    <w:proofErr w:type="spellStart"/>
                    <w:r w:rsidRPr="00B812C7">
                      <w:rPr>
                        <w:rFonts w:ascii="Titillium" w:hAnsi="Titillium" w:cstheme="minorHAnsi"/>
                        <w:b/>
                        <w:bCs/>
                        <w:color w:val="1F3864" w:themeColor="accent1" w:themeShade="80"/>
                        <w:sz w:val="12"/>
                        <w:szCs w:val="12"/>
                        <w:lang w:val="en-US"/>
                      </w:rPr>
                      <w:t>RESearch</w:t>
                    </w:r>
                    <w:proofErr w:type="spellEnd"/>
                    <w:r w:rsidRPr="00B812C7">
                      <w:rPr>
                        <w:rFonts w:ascii="Titillium" w:hAnsi="Titillium" w:cstheme="minorHAnsi"/>
                        <w:b/>
                        <w:bCs/>
                        <w:color w:val="1F3864" w:themeColor="accent1" w:themeShade="80"/>
                        <w:sz w:val="12"/>
                        <w:szCs w:val="12"/>
                        <w:lang w:val="en-US"/>
                      </w:rPr>
                      <w:t xml:space="preserve"> and innovation on future Telecommunications </w:t>
                    </w:r>
                  </w:p>
                  <w:p w14:paraId="5DDCC35B" w14:textId="29675FC2" w:rsidR="00B812C7" w:rsidRDefault="00B301F3" w:rsidP="00B301F3">
                    <w:pPr>
                      <w:rPr>
                        <w:rFonts w:ascii="Titillium" w:hAnsi="Titillium" w:cstheme="minorHAnsi"/>
                        <w:b/>
                        <w:bCs/>
                        <w:color w:val="1F3864" w:themeColor="accent1" w:themeShade="80"/>
                        <w:sz w:val="12"/>
                        <w:szCs w:val="12"/>
                        <w:lang w:val="en-US"/>
                      </w:rPr>
                    </w:pPr>
                    <w:r w:rsidRPr="00B812C7">
                      <w:rPr>
                        <w:rFonts w:ascii="Titillium" w:hAnsi="Titillium" w:cstheme="minorHAnsi"/>
                        <w:b/>
                        <w:bCs/>
                        <w:color w:val="1F3864" w:themeColor="accent1" w:themeShade="80"/>
                        <w:sz w:val="12"/>
                        <w:szCs w:val="12"/>
                        <w:lang w:val="en-US"/>
                      </w:rPr>
                      <w:t xml:space="preserve">systems and networks, to make Italy more </w:t>
                    </w:r>
                    <w:proofErr w:type="spellStart"/>
                    <w:r w:rsidRPr="00B812C7">
                      <w:rPr>
                        <w:rFonts w:ascii="Titillium" w:hAnsi="Titillium" w:cstheme="minorHAnsi"/>
                        <w:b/>
                        <w:bCs/>
                        <w:color w:val="1F3864" w:themeColor="accent1" w:themeShade="80"/>
                        <w:sz w:val="12"/>
                        <w:szCs w:val="12"/>
                        <w:lang w:val="en-US"/>
                      </w:rPr>
                      <w:t>smAR</w:t>
                    </w:r>
                    <w:r w:rsidR="00B812C7">
                      <w:rPr>
                        <w:rFonts w:ascii="Titillium" w:hAnsi="Titillium" w:cstheme="minorHAnsi"/>
                        <w:b/>
                        <w:bCs/>
                        <w:color w:val="1F3864" w:themeColor="accent1" w:themeShade="80"/>
                        <w:sz w:val="12"/>
                        <w:szCs w:val="12"/>
                        <w:lang w:val="en-US"/>
                      </w:rPr>
                      <w:t>T</w:t>
                    </w:r>
                    <w:proofErr w:type="spellEnd"/>
                  </w:p>
                  <w:p w14:paraId="620ADD40" w14:textId="77777777" w:rsidR="00C604F6" w:rsidRDefault="00C604F6" w:rsidP="00C604F6">
                    <w:pPr>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www.fondazione-restart.it</w:t>
                    </w:r>
                  </w:p>
                  <w:p w14:paraId="7DD15084" w14:textId="77777777" w:rsidR="00C604F6" w:rsidRPr="00B812C7" w:rsidRDefault="00C604F6" w:rsidP="00B301F3">
                    <w:pPr>
                      <w:rPr>
                        <w:rFonts w:ascii="Titillium" w:hAnsi="Titillium" w:cstheme="minorHAnsi"/>
                        <w:b/>
                        <w:bCs/>
                        <w:color w:val="1F3864" w:themeColor="accent1" w:themeShade="80"/>
                        <w:sz w:val="12"/>
                        <w:szCs w:val="12"/>
                        <w:lang w:val="en-US"/>
                      </w:rPr>
                    </w:pPr>
                  </w:p>
                </w:txbxContent>
              </v:textbox>
            </v:shape>
          </w:pict>
        </mc:Fallback>
      </mc:AlternateContent>
    </w:r>
    <w:r w:rsidR="00C604F6">
      <w:rPr>
        <w:noProof/>
      </w:rPr>
      <mc:AlternateContent>
        <mc:Choice Requires="wps">
          <w:drawing>
            <wp:anchor distT="0" distB="0" distL="114300" distR="114300" simplePos="0" relativeHeight="251666432" behindDoc="0" locked="0" layoutInCell="1" allowOverlap="1" wp14:anchorId="7340DEFF" wp14:editId="7068EFB2">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1C5E675F" w14:textId="77777777" w:rsidR="00B812C7" w:rsidRPr="00B812C7" w:rsidRDefault="00B812C7" w:rsidP="00B812C7">
                          <w:pPr>
                            <w:jc w:val="right"/>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Università degli Studi di Roma "Tor Vergata"</w:t>
                          </w:r>
                        </w:p>
                        <w:p w14:paraId="6CB0627A" w14:textId="77777777" w:rsidR="00B812C7" w:rsidRPr="00B812C7" w:rsidRDefault="00B812C7" w:rsidP="00B812C7">
                          <w:pPr>
                            <w:jc w:val="right"/>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via Cracovia n.50, 00133 Roma RM</w:t>
                          </w:r>
                        </w:p>
                        <w:p w14:paraId="314C395F" w14:textId="77777777" w:rsidR="00B812C7" w:rsidRPr="003032D4" w:rsidRDefault="00B812C7" w:rsidP="00B812C7">
                          <w:pPr>
                            <w:jc w:val="right"/>
                            <w:rPr>
                              <w:rFonts w:ascii="Titillium" w:hAnsi="Titillium" w:cstheme="minorHAnsi"/>
                              <w:b/>
                              <w:bCs/>
                              <w:color w:val="1F3864" w:themeColor="accent1" w:themeShade="80"/>
                              <w:sz w:val="12"/>
                              <w:szCs w:val="12"/>
                            </w:rPr>
                          </w:pPr>
                          <w:r w:rsidRPr="003032D4">
                            <w:rPr>
                              <w:rFonts w:ascii="Titillium" w:hAnsi="Titillium" w:cstheme="minorHAnsi"/>
                              <w:b/>
                              <w:bCs/>
                              <w:color w:val="1F3864" w:themeColor="accent1" w:themeShade="80"/>
                              <w:sz w:val="12"/>
                              <w:szCs w:val="12"/>
                            </w:rPr>
                            <w:t xml:space="preserve">Mail: segreteria@fondazione-restart.it, </w:t>
                          </w:r>
                        </w:p>
                        <w:p w14:paraId="7BA9FC65" w14:textId="5441C9A0" w:rsidR="00B812C7" w:rsidRPr="00B812C7" w:rsidRDefault="00B812C7" w:rsidP="00B812C7">
                          <w:pPr>
                            <w:jc w:val="right"/>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PEC: fondazione-restart@pec.it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DEFF" id="Text Box 5" o:spid="_x0000_s1027"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uyGgIAADM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" filled="f" stroked="f" strokeweight=".5pt">
              <v:textbox>
                <w:txbxContent>
                  <w:p w14:paraId="1C5E675F" w14:textId="77777777" w:rsidR="00B812C7" w:rsidRPr="00B812C7" w:rsidRDefault="00B812C7" w:rsidP="00B812C7">
                    <w:pPr>
                      <w:jc w:val="right"/>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Università degli Studi di Roma "Tor Vergata"</w:t>
                    </w:r>
                  </w:p>
                  <w:p w14:paraId="6CB0627A" w14:textId="77777777" w:rsidR="00B812C7" w:rsidRPr="00B812C7" w:rsidRDefault="00B812C7" w:rsidP="00B812C7">
                    <w:pPr>
                      <w:jc w:val="right"/>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via Cracovia n.50, 00133 Roma RM</w:t>
                    </w:r>
                  </w:p>
                  <w:p w14:paraId="314C395F" w14:textId="77777777" w:rsidR="00B812C7" w:rsidRPr="003032D4" w:rsidRDefault="00B812C7" w:rsidP="00B812C7">
                    <w:pPr>
                      <w:jc w:val="right"/>
                      <w:rPr>
                        <w:rFonts w:ascii="Titillium" w:hAnsi="Titillium" w:cstheme="minorHAnsi"/>
                        <w:b/>
                        <w:bCs/>
                        <w:color w:val="1F3864" w:themeColor="accent1" w:themeShade="80"/>
                        <w:sz w:val="12"/>
                        <w:szCs w:val="12"/>
                      </w:rPr>
                    </w:pPr>
                    <w:r w:rsidRPr="003032D4">
                      <w:rPr>
                        <w:rFonts w:ascii="Titillium" w:hAnsi="Titillium" w:cstheme="minorHAnsi"/>
                        <w:b/>
                        <w:bCs/>
                        <w:color w:val="1F3864" w:themeColor="accent1" w:themeShade="80"/>
                        <w:sz w:val="12"/>
                        <w:szCs w:val="12"/>
                      </w:rPr>
                      <w:t xml:space="preserve">Mail: segreteria@fondazione-restart.it, </w:t>
                    </w:r>
                  </w:p>
                  <w:p w14:paraId="7BA9FC65" w14:textId="5441C9A0" w:rsidR="00B812C7" w:rsidRPr="00B812C7" w:rsidRDefault="00B812C7" w:rsidP="00B812C7">
                    <w:pPr>
                      <w:jc w:val="right"/>
                      <w:rPr>
                        <w:rFonts w:ascii="Titillium" w:hAnsi="Titillium" w:cstheme="minorHAnsi"/>
                        <w:b/>
                        <w:bCs/>
                        <w:color w:val="1F3864" w:themeColor="accent1" w:themeShade="80"/>
                        <w:sz w:val="12"/>
                        <w:szCs w:val="12"/>
                      </w:rPr>
                    </w:pPr>
                    <w:r w:rsidRPr="00B812C7">
                      <w:rPr>
                        <w:rFonts w:ascii="Titillium" w:hAnsi="Titillium" w:cstheme="minorHAnsi"/>
                        <w:b/>
                        <w:bCs/>
                        <w:color w:val="1F3864" w:themeColor="accent1" w:themeShade="80"/>
                        <w:sz w:val="12"/>
                        <w:szCs w:val="12"/>
                      </w:rPr>
                      <w:t>PEC: fondazione-restart@pec.it</w:t>
                    </w: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2B1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8"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tGQ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D775" w14:textId="77777777" w:rsidR="00A209C8" w:rsidRDefault="00A209C8" w:rsidP="000151A3">
      <w:r>
        <w:separator/>
      </w:r>
    </w:p>
  </w:footnote>
  <w:footnote w:type="continuationSeparator" w:id="0">
    <w:p w14:paraId="73F850D4" w14:textId="77777777" w:rsidR="00A209C8" w:rsidRDefault="00A209C8"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0AF3DE0B" w:rsidR="000151A3" w:rsidRDefault="00931B68" w:rsidP="000151A3">
    <w:pPr>
      <w:pStyle w:val="Intestazione"/>
      <w:tabs>
        <w:tab w:val="clear" w:pos="9638"/>
      </w:tabs>
      <w:ind w:left="-1134" w:right="-1134"/>
    </w:pPr>
    <w:r>
      <w:rPr>
        <w:noProof/>
      </w:rPr>
      <w:drawing>
        <wp:inline distT="0" distB="0" distL="0" distR="0" wp14:anchorId="4899F2E2" wp14:editId="356B6116">
          <wp:extent cx="7571727" cy="11833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615941" cy="1190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214"/>
    <w:multiLevelType w:val="hybridMultilevel"/>
    <w:tmpl w:val="A46EA5CC"/>
    <w:lvl w:ilvl="0" w:tplc="04100017">
      <w:start w:val="1"/>
      <w:numFmt w:val="lowerLetter"/>
      <w:lvlText w:val="%1)"/>
      <w:lvlJc w:val="left"/>
      <w:pPr>
        <w:ind w:left="720" w:hanging="360"/>
      </w:pPr>
    </w:lvl>
    <w:lvl w:ilvl="1" w:tplc="0BAC07F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DD0B65"/>
    <w:multiLevelType w:val="hybridMultilevel"/>
    <w:tmpl w:val="8D6C0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E2C2D"/>
    <w:multiLevelType w:val="hybridMultilevel"/>
    <w:tmpl w:val="09CE9E12"/>
    <w:lvl w:ilvl="0" w:tplc="443C0C9E">
      <w:numFmt w:val="bullet"/>
      <w:lvlText w:val="-"/>
      <w:lvlJc w:val="left"/>
      <w:pPr>
        <w:ind w:left="720" w:hanging="360"/>
      </w:pPr>
      <w:rPr>
        <w:rFonts w:ascii="Arial" w:hAnsi="Arial" w:hint="default"/>
        <w:caps w:val="0"/>
        <w:strike w:val="0"/>
        <w:dstrike w:val="0"/>
        <w:vanish w:val="0"/>
        <w:sz w:val="20"/>
        <w:vertAlign w:val="baseline"/>
      </w:rPr>
    </w:lvl>
    <w:lvl w:ilvl="1" w:tplc="0410001B">
      <w:start w:val="1"/>
      <w:numFmt w:val="lowerRoman"/>
      <w:lvlText w:val="%2."/>
      <w:lvlJc w:val="right"/>
      <w:pPr>
        <w:ind w:left="1440" w:hanging="360"/>
      </w:pPr>
      <w:rPr>
        <w:rFonts w:hint="default"/>
        <w:caps w:val="0"/>
        <w:strike w:val="0"/>
        <w:dstrike w:val="0"/>
        <w:vanish w:val="0"/>
        <w:sz w:val="2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D4139"/>
    <w:multiLevelType w:val="hybridMultilevel"/>
    <w:tmpl w:val="F6B4E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F73D42"/>
    <w:multiLevelType w:val="hybridMultilevel"/>
    <w:tmpl w:val="7F6A8922"/>
    <w:lvl w:ilvl="0" w:tplc="04100017">
      <w:start w:val="1"/>
      <w:numFmt w:val="lowerLetter"/>
      <w:lvlText w:val="%1)"/>
      <w:lvlJc w:val="left"/>
      <w:pPr>
        <w:ind w:left="720" w:hanging="360"/>
      </w:pPr>
    </w:lvl>
    <w:lvl w:ilvl="1" w:tplc="0BAC07F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1F5A7E"/>
    <w:multiLevelType w:val="hybridMultilevel"/>
    <w:tmpl w:val="30BAA7CE"/>
    <w:lvl w:ilvl="0" w:tplc="0410001B">
      <w:start w:val="1"/>
      <w:numFmt w:val="lowerRoman"/>
      <w:lvlText w:val="%1."/>
      <w:lvlJc w:val="right"/>
      <w:pPr>
        <w:ind w:left="1440" w:hanging="360"/>
      </w:pPr>
    </w:lvl>
    <w:lvl w:ilvl="1" w:tplc="2FA08E28">
      <w:start w:val="1"/>
      <w:numFmt w:val="lowerLetter"/>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7" w15:restartNumberingAfterBreak="0">
    <w:nsid w:val="23146162"/>
    <w:multiLevelType w:val="hybridMultilevel"/>
    <w:tmpl w:val="8D6C0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23268E"/>
    <w:multiLevelType w:val="hybridMultilevel"/>
    <w:tmpl w:val="B3BE049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74E3394"/>
    <w:multiLevelType w:val="hybridMultilevel"/>
    <w:tmpl w:val="7C22B868"/>
    <w:lvl w:ilvl="0" w:tplc="443C0C9E">
      <w:numFmt w:val="bullet"/>
      <w:lvlText w:val="-"/>
      <w:lvlJc w:val="left"/>
      <w:pPr>
        <w:ind w:left="720" w:hanging="360"/>
      </w:pPr>
      <w:rPr>
        <w:rFonts w:ascii="Arial" w:hAnsi="Arial" w:hint="default"/>
        <w:caps w:val="0"/>
        <w:strike w:val="0"/>
        <w:dstrike w:val="0"/>
        <w:vanish w:val="0"/>
        <w:sz w:val="2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784108"/>
    <w:multiLevelType w:val="hybridMultilevel"/>
    <w:tmpl w:val="26B69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9578D6"/>
    <w:multiLevelType w:val="hybridMultilevel"/>
    <w:tmpl w:val="E7DEF084"/>
    <w:lvl w:ilvl="0" w:tplc="B9E4FC9E">
      <w:start w:val="1"/>
      <w:numFmt w:val="upp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CF1E67"/>
    <w:multiLevelType w:val="hybridMultilevel"/>
    <w:tmpl w:val="7E86746A"/>
    <w:lvl w:ilvl="0" w:tplc="DD746386">
      <w:numFmt w:val="bullet"/>
      <w:lvlText w:val="-"/>
      <w:lvlJc w:val="left"/>
      <w:pPr>
        <w:ind w:left="90" w:hanging="360"/>
      </w:pPr>
      <w:rPr>
        <w:rFonts w:ascii="Titillium" w:eastAsiaTheme="minorHAnsi" w:hAnsi="Titillium"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64C354A3"/>
    <w:multiLevelType w:val="hybridMultilevel"/>
    <w:tmpl w:val="91C84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A23023"/>
    <w:multiLevelType w:val="hybridMultilevel"/>
    <w:tmpl w:val="E9BED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69BC2DFF"/>
    <w:multiLevelType w:val="hybridMultilevel"/>
    <w:tmpl w:val="A6102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C64F9A"/>
    <w:multiLevelType w:val="hybridMultilevel"/>
    <w:tmpl w:val="1B226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4529EE"/>
    <w:multiLevelType w:val="hybridMultilevel"/>
    <w:tmpl w:val="B58E8DE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2128142">
    <w:abstractNumId w:val="16"/>
  </w:num>
  <w:num w:numId="2" w16cid:durableId="664892466">
    <w:abstractNumId w:val="13"/>
  </w:num>
  <w:num w:numId="3" w16cid:durableId="661467211">
    <w:abstractNumId w:val="0"/>
  </w:num>
  <w:num w:numId="4" w16cid:durableId="662902082">
    <w:abstractNumId w:val="2"/>
  </w:num>
  <w:num w:numId="5" w16cid:durableId="474224629">
    <w:abstractNumId w:val="7"/>
  </w:num>
  <w:num w:numId="6" w16cid:durableId="872155753">
    <w:abstractNumId w:val="11"/>
  </w:num>
  <w:num w:numId="7" w16cid:durableId="1338923515">
    <w:abstractNumId w:val="4"/>
  </w:num>
  <w:num w:numId="8" w16cid:durableId="1482773772">
    <w:abstractNumId w:val="8"/>
  </w:num>
  <w:num w:numId="9" w16cid:durableId="215163481">
    <w:abstractNumId w:val="5"/>
  </w:num>
  <w:num w:numId="10" w16cid:durableId="595409362">
    <w:abstractNumId w:val="17"/>
  </w:num>
  <w:num w:numId="11" w16cid:durableId="658535653">
    <w:abstractNumId w:val="3"/>
  </w:num>
  <w:num w:numId="12" w16cid:durableId="543492332">
    <w:abstractNumId w:val="1"/>
  </w:num>
  <w:num w:numId="13" w16cid:durableId="463740389">
    <w:abstractNumId w:val="10"/>
  </w:num>
  <w:num w:numId="14" w16cid:durableId="904222421">
    <w:abstractNumId w:val="12"/>
  </w:num>
  <w:num w:numId="15" w16cid:durableId="1104305466">
    <w:abstractNumId w:val="6"/>
  </w:num>
  <w:num w:numId="16" w16cid:durableId="1020660982">
    <w:abstractNumId w:val="15"/>
  </w:num>
  <w:num w:numId="17" w16cid:durableId="2024890536">
    <w:abstractNumId w:val="9"/>
  </w:num>
  <w:num w:numId="18" w16cid:durableId="2366675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5B3B"/>
    <w:rsid w:val="0001160D"/>
    <w:rsid w:val="000151A3"/>
    <w:rsid w:val="00017341"/>
    <w:rsid w:val="00032B43"/>
    <w:rsid w:val="00033E7D"/>
    <w:rsid w:val="00042518"/>
    <w:rsid w:val="00044929"/>
    <w:rsid w:val="000605BA"/>
    <w:rsid w:val="000620C5"/>
    <w:rsid w:val="00066413"/>
    <w:rsid w:val="00076122"/>
    <w:rsid w:val="00080A2C"/>
    <w:rsid w:val="00082AAE"/>
    <w:rsid w:val="00085AB3"/>
    <w:rsid w:val="0008757F"/>
    <w:rsid w:val="000910D5"/>
    <w:rsid w:val="00093093"/>
    <w:rsid w:val="00095618"/>
    <w:rsid w:val="000A6F03"/>
    <w:rsid w:val="000B0C07"/>
    <w:rsid w:val="000B116A"/>
    <w:rsid w:val="000B5404"/>
    <w:rsid w:val="000B61FB"/>
    <w:rsid w:val="000C27D1"/>
    <w:rsid w:val="000C42A2"/>
    <w:rsid w:val="000C7190"/>
    <w:rsid w:val="000D6DC7"/>
    <w:rsid w:val="000E59D2"/>
    <w:rsid w:val="000F7654"/>
    <w:rsid w:val="0010360E"/>
    <w:rsid w:val="00107F06"/>
    <w:rsid w:val="00117F53"/>
    <w:rsid w:val="0012003D"/>
    <w:rsid w:val="00124132"/>
    <w:rsid w:val="00124A2F"/>
    <w:rsid w:val="00126F23"/>
    <w:rsid w:val="00134E9F"/>
    <w:rsid w:val="00145FC6"/>
    <w:rsid w:val="001845CA"/>
    <w:rsid w:val="00186A55"/>
    <w:rsid w:val="00186E73"/>
    <w:rsid w:val="0018746A"/>
    <w:rsid w:val="001947E7"/>
    <w:rsid w:val="001A0F0D"/>
    <w:rsid w:val="001A56F6"/>
    <w:rsid w:val="001A5E00"/>
    <w:rsid w:val="001B664E"/>
    <w:rsid w:val="001C0742"/>
    <w:rsid w:val="001D0DB7"/>
    <w:rsid w:val="001E05BE"/>
    <w:rsid w:val="001E09E8"/>
    <w:rsid w:val="001E2C05"/>
    <w:rsid w:val="001E342A"/>
    <w:rsid w:val="001E519A"/>
    <w:rsid w:val="001E7BA0"/>
    <w:rsid w:val="001F2534"/>
    <w:rsid w:val="00203097"/>
    <w:rsid w:val="00211E3D"/>
    <w:rsid w:val="0023112C"/>
    <w:rsid w:val="00235AC9"/>
    <w:rsid w:val="00240218"/>
    <w:rsid w:val="002451A9"/>
    <w:rsid w:val="00253526"/>
    <w:rsid w:val="00263103"/>
    <w:rsid w:val="002678A0"/>
    <w:rsid w:val="00272873"/>
    <w:rsid w:val="00287B50"/>
    <w:rsid w:val="002A467C"/>
    <w:rsid w:val="002C434C"/>
    <w:rsid w:val="002C692B"/>
    <w:rsid w:val="002D4C2E"/>
    <w:rsid w:val="002D5040"/>
    <w:rsid w:val="002E296A"/>
    <w:rsid w:val="003032D4"/>
    <w:rsid w:val="00307033"/>
    <w:rsid w:val="00307E02"/>
    <w:rsid w:val="00310F7F"/>
    <w:rsid w:val="00313879"/>
    <w:rsid w:val="003230D0"/>
    <w:rsid w:val="003261F2"/>
    <w:rsid w:val="003336E1"/>
    <w:rsid w:val="00342A8B"/>
    <w:rsid w:val="00346EEB"/>
    <w:rsid w:val="00353C1C"/>
    <w:rsid w:val="00357101"/>
    <w:rsid w:val="00357793"/>
    <w:rsid w:val="00360281"/>
    <w:rsid w:val="00363464"/>
    <w:rsid w:val="00363595"/>
    <w:rsid w:val="00374CA3"/>
    <w:rsid w:val="00375636"/>
    <w:rsid w:val="003812B6"/>
    <w:rsid w:val="003A5898"/>
    <w:rsid w:val="003B0405"/>
    <w:rsid w:val="003B15AF"/>
    <w:rsid w:val="003B3009"/>
    <w:rsid w:val="003B5897"/>
    <w:rsid w:val="003B710B"/>
    <w:rsid w:val="003B72DF"/>
    <w:rsid w:val="003C168A"/>
    <w:rsid w:val="003C5B5A"/>
    <w:rsid w:val="003D0407"/>
    <w:rsid w:val="003D126B"/>
    <w:rsid w:val="003D1572"/>
    <w:rsid w:val="003D3A58"/>
    <w:rsid w:val="003D44DD"/>
    <w:rsid w:val="003E33E3"/>
    <w:rsid w:val="003E6701"/>
    <w:rsid w:val="003F13C3"/>
    <w:rsid w:val="003F32BC"/>
    <w:rsid w:val="00407338"/>
    <w:rsid w:val="00412885"/>
    <w:rsid w:val="00432277"/>
    <w:rsid w:val="00436AED"/>
    <w:rsid w:val="0044171A"/>
    <w:rsid w:val="00443CB8"/>
    <w:rsid w:val="004509BD"/>
    <w:rsid w:val="00452998"/>
    <w:rsid w:val="004605D4"/>
    <w:rsid w:val="0046281D"/>
    <w:rsid w:val="00464A9A"/>
    <w:rsid w:val="00467AD4"/>
    <w:rsid w:val="00476141"/>
    <w:rsid w:val="004A132C"/>
    <w:rsid w:val="004A3A85"/>
    <w:rsid w:val="004A71BF"/>
    <w:rsid w:val="004B260C"/>
    <w:rsid w:val="004B7AE1"/>
    <w:rsid w:val="004E1334"/>
    <w:rsid w:val="004E3CE4"/>
    <w:rsid w:val="004E4A3F"/>
    <w:rsid w:val="004E779C"/>
    <w:rsid w:val="004E7830"/>
    <w:rsid w:val="004F1D0D"/>
    <w:rsid w:val="004F4A58"/>
    <w:rsid w:val="004F729A"/>
    <w:rsid w:val="00500CF8"/>
    <w:rsid w:val="0050763D"/>
    <w:rsid w:val="00520312"/>
    <w:rsid w:val="00522EBF"/>
    <w:rsid w:val="0053323E"/>
    <w:rsid w:val="005332CA"/>
    <w:rsid w:val="00543107"/>
    <w:rsid w:val="00545651"/>
    <w:rsid w:val="00555FCF"/>
    <w:rsid w:val="00561335"/>
    <w:rsid w:val="00562E0A"/>
    <w:rsid w:val="0058070B"/>
    <w:rsid w:val="00581870"/>
    <w:rsid w:val="00594BF0"/>
    <w:rsid w:val="005979EE"/>
    <w:rsid w:val="005A26D7"/>
    <w:rsid w:val="005B0C89"/>
    <w:rsid w:val="005B1E4D"/>
    <w:rsid w:val="005B3250"/>
    <w:rsid w:val="005B7ABA"/>
    <w:rsid w:val="005C203E"/>
    <w:rsid w:val="005C672E"/>
    <w:rsid w:val="005D3505"/>
    <w:rsid w:val="005E26F6"/>
    <w:rsid w:val="005F48DC"/>
    <w:rsid w:val="005F637C"/>
    <w:rsid w:val="005F7FF6"/>
    <w:rsid w:val="00602409"/>
    <w:rsid w:val="006025C8"/>
    <w:rsid w:val="006135BA"/>
    <w:rsid w:val="0062435D"/>
    <w:rsid w:val="00626578"/>
    <w:rsid w:val="00636485"/>
    <w:rsid w:val="00642549"/>
    <w:rsid w:val="006523D0"/>
    <w:rsid w:val="0065453B"/>
    <w:rsid w:val="00661BE3"/>
    <w:rsid w:val="00665B42"/>
    <w:rsid w:val="00674C59"/>
    <w:rsid w:val="00674FFC"/>
    <w:rsid w:val="00681E48"/>
    <w:rsid w:val="00684E33"/>
    <w:rsid w:val="006914BF"/>
    <w:rsid w:val="00697D10"/>
    <w:rsid w:val="006A6124"/>
    <w:rsid w:val="006B0A83"/>
    <w:rsid w:val="006B1D6A"/>
    <w:rsid w:val="006B737B"/>
    <w:rsid w:val="006C00B7"/>
    <w:rsid w:val="006C1722"/>
    <w:rsid w:val="006C5840"/>
    <w:rsid w:val="006C7B9E"/>
    <w:rsid w:val="006C7FFE"/>
    <w:rsid w:val="006D18AD"/>
    <w:rsid w:val="006D19EA"/>
    <w:rsid w:val="006D5BBF"/>
    <w:rsid w:val="006F1673"/>
    <w:rsid w:val="006F1F8A"/>
    <w:rsid w:val="006F1FD0"/>
    <w:rsid w:val="006F6896"/>
    <w:rsid w:val="007011B1"/>
    <w:rsid w:val="0070474C"/>
    <w:rsid w:val="00705D93"/>
    <w:rsid w:val="00711AA4"/>
    <w:rsid w:val="007144CD"/>
    <w:rsid w:val="00721333"/>
    <w:rsid w:val="0072482F"/>
    <w:rsid w:val="0072702B"/>
    <w:rsid w:val="007304AC"/>
    <w:rsid w:val="00733D0E"/>
    <w:rsid w:val="00744AB4"/>
    <w:rsid w:val="00750213"/>
    <w:rsid w:val="007525A2"/>
    <w:rsid w:val="007546D0"/>
    <w:rsid w:val="00765462"/>
    <w:rsid w:val="00772095"/>
    <w:rsid w:val="00777107"/>
    <w:rsid w:val="00792473"/>
    <w:rsid w:val="007B15F2"/>
    <w:rsid w:val="007B479C"/>
    <w:rsid w:val="007C228C"/>
    <w:rsid w:val="007C4F91"/>
    <w:rsid w:val="007C5882"/>
    <w:rsid w:val="007E028A"/>
    <w:rsid w:val="007E2960"/>
    <w:rsid w:val="007F21ED"/>
    <w:rsid w:val="007F3A63"/>
    <w:rsid w:val="007F5CD7"/>
    <w:rsid w:val="00803992"/>
    <w:rsid w:val="00805C87"/>
    <w:rsid w:val="00811B48"/>
    <w:rsid w:val="00812A09"/>
    <w:rsid w:val="00814255"/>
    <w:rsid w:val="00821EFF"/>
    <w:rsid w:val="00835D9C"/>
    <w:rsid w:val="0083650E"/>
    <w:rsid w:val="00836EDC"/>
    <w:rsid w:val="008414F6"/>
    <w:rsid w:val="00842347"/>
    <w:rsid w:val="0084478C"/>
    <w:rsid w:val="00850CD7"/>
    <w:rsid w:val="00855C1A"/>
    <w:rsid w:val="0085674A"/>
    <w:rsid w:val="008572DD"/>
    <w:rsid w:val="00860105"/>
    <w:rsid w:val="008631D8"/>
    <w:rsid w:val="00863788"/>
    <w:rsid w:val="008737D3"/>
    <w:rsid w:val="008749C3"/>
    <w:rsid w:val="00882C08"/>
    <w:rsid w:val="0088376B"/>
    <w:rsid w:val="00883988"/>
    <w:rsid w:val="00886142"/>
    <w:rsid w:val="008A0DAB"/>
    <w:rsid w:val="008A0FF3"/>
    <w:rsid w:val="008A4D55"/>
    <w:rsid w:val="008A6B03"/>
    <w:rsid w:val="008A7148"/>
    <w:rsid w:val="008B6381"/>
    <w:rsid w:val="008C3F9D"/>
    <w:rsid w:val="008C464B"/>
    <w:rsid w:val="008C7D7E"/>
    <w:rsid w:val="008D1C40"/>
    <w:rsid w:val="008D4DCD"/>
    <w:rsid w:val="008E081D"/>
    <w:rsid w:val="008E1316"/>
    <w:rsid w:val="008E3BD6"/>
    <w:rsid w:val="008E64A5"/>
    <w:rsid w:val="008E7E6B"/>
    <w:rsid w:val="009008A9"/>
    <w:rsid w:val="00903B79"/>
    <w:rsid w:val="0092295F"/>
    <w:rsid w:val="00923E73"/>
    <w:rsid w:val="00926946"/>
    <w:rsid w:val="00931274"/>
    <w:rsid w:val="00931B68"/>
    <w:rsid w:val="0093404B"/>
    <w:rsid w:val="009367C8"/>
    <w:rsid w:val="00945092"/>
    <w:rsid w:val="00950D54"/>
    <w:rsid w:val="00970EC0"/>
    <w:rsid w:val="00971DA1"/>
    <w:rsid w:val="0097454E"/>
    <w:rsid w:val="009819BA"/>
    <w:rsid w:val="00984452"/>
    <w:rsid w:val="00986DBE"/>
    <w:rsid w:val="009924A3"/>
    <w:rsid w:val="00992F78"/>
    <w:rsid w:val="009A0DC5"/>
    <w:rsid w:val="009A1DDB"/>
    <w:rsid w:val="009A3AE7"/>
    <w:rsid w:val="009B1D58"/>
    <w:rsid w:val="009C4B30"/>
    <w:rsid w:val="009D0A9E"/>
    <w:rsid w:val="009D3EE0"/>
    <w:rsid w:val="009D42C7"/>
    <w:rsid w:val="009E1CE7"/>
    <w:rsid w:val="009E7EB3"/>
    <w:rsid w:val="009F2615"/>
    <w:rsid w:val="009F6F8A"/>
    <w:rsid w:val="00A00B16"/>
    <w:rsid w:val="00A17C00"/>
    <w:rsid w:val="00A209C8"/>
    <w:rsid w:val="00A24E32"/>
    <w:rsid w:val="00A2632A"/>
    <w:rsid w:val="00A26E03"/>
    <w:rsid w:val="00A36B05"/>
    <w:rsid w:val="00A42FB6"/>
    <w:rsid w:val="00A47E1B"/>
    <w:rsid w:val="00A51BC0"/>
    <w:rsid w:val="00A555EB"/>
    <w:rsid w:val="00A620EF"/>
    <w:rsid w:val="00A64AC3"/>
    <w:rsid w:val="00A678BE"/>
    <w:rsid w:val="00A7399E"/>
    <w:rsid w:val="00A753FF"/>
    <w:rsid w:val="00A76B1B"/>
    <w:rsid w:val="00A77813"/>
    <w:rsid w:val="00A80E4A"/>
    <w:rsid w:val="00A84BDE"/>
    <w:rsid w:val="00A87F7B"/>
    <w:rsid w:val="00A91DAE"/>
    <w:rsid w:val="00A937FD"/>
    <w:rsid w:val="00A96879"/>
    <w:rsid w:val="00A97D35"/>
    <w:rsid w:val="00AA1B90"/>
    <w:rsid w:val="00AA52C0"/>
    <w:rsid w:val="00AA76DA"/>
    <w:rsid w:val="00AB3142"/>
    <w:rsid w:val="00AB3253"/>
    <w:rsid w:val="00AB4509"/>
    <w:rsid w:val="00AC0C2A"/>
    <w:rsid w:val="00AC4C54"/>
    <w:rsid w:val="00AC554D"/>
    <w:rsid w:val="00AC748B"/>
    <w:rsid w:val="00AD4643"/>
    <w:rsid w:val="00AE19DE"/>
    <w:rsid w:val="00AE1F1E"/>
    <w:rsid w:val="00AF117B"/>
    <w:rsid w:val="00AF2630"/>
    <w:rsid w:val="00AF3030"/>
    <w:rsid w:val="00AF4014"/>
    <w:rsid w:val="00AF6248"/>
    <w:rsid w:val="00AF7619"/>
    <w:rsid w:val="00B0269C"/>
    <w:rsid w:val="00B06E18"/>
    <w:rsid w:val="00B10B1F"/>
    <w:rsid w:val="00B20355"/>
    <w:rsid w:val="00B21052"/>
    <w:rsid w:val="00B233FF"/>
    <w:rsid w:val="00B301F3"/>
    <w:rsid w:val="00B335E8"/>
    <w:rsid w:val="00B37EF6"/>
    <w:rsid w:val="00B469A9"/>
    <w:rsid w:val="00B473F6"/>
    <w:rsid w:val="00B53C7A"/>
    <w:rsid w:val="00B56413"/>
    <w:rsid w:val="00B61836"/>
    <w:rsid w:val="00B61BB6"/>
    <w:rsid w:val="00B638E0"/>
    <w:rsid w:val="00B812C7"/>
    <w:rsid w:val="00B83894"/>
    <w:rsid w:val="00B87941"/>
    <w:rsid w:val="00B90346"/>
    <w:rsid w:val="00B92680"/>
    <w:rsid w:val="00BA23CC"/>
    <w:rsid w:val="00BA4A25"/>
    <w:rsid w:val="00BA6056"/>
    <w:rsid w:val="00BA6A95"/>
    <w:rsid w:val="00BB4B99"/>
    <w:rsid w:val="00BC1BDE"/>
    <w:rsid w:val="00BC3F97"/>
    <w:rsid w:val="00BE36EE"/>
    <w:rsid w:val="00BF3440"/>
    <w:rsid w:val="00C03DE3"/>
    <w:rsid w:val="00C04244"/>
    <w:rsid w:val="00C043C3"/>
    <w:rsid w:val="00C05929"/>
    <w:rsid w:val="00C064AD"/>
    <w:rsid w:val="00C07959"/>
    <w:rsid w:val="00C133CE"/>
    <w:rsid w:val="00C14144"/>
    <w:rsid w:val="00C158FF"/>
    <w:rsid w:val="00C20E15"/>
    <w:rsid w:val="00C27BDE"/>
    <w:rsid w:val="00C36130"/>
    <w:rsid w:val="00C450D0"/>
    <w:rsid w:val="00C45DCB"/>
    <w:rsid w:val="00C4732F"/>
    <w:rsid w:val="00C53E68"/>
    <w:rsid w:val="00C6037B"/>
    <w:rsid w:val="00C604F6"/>
    <w:rsid w:val="00C82057"/>
    <w:rsid w:val="00C836AD"/>
    <w:rsid w:val="00C85C03"/>
    <w:rsid w:val="00C868B2"/>
    <w:rsid w:val="00C95232"/>
    <w:rsid w:val="00C97FCA"/>
    <w:rsid w:val="00CB2339"/>
    <w:rsid w:val="00CB32C4"/>
    <w:rsid w:val="00CB67ED"/>
    <w:rsid w:val="00CC0C6A"/>
    <w:rsid w:val="00CC5A7C"/>
    <w:rsid w:val="00CC6304"/>
    <w:rsid w:val="00CC6A73"/>
    <w:rsid w:val="00CC7F56"/>
    <w:rsid w:val="00CD4226"/>
    <w:rsid w:val="00CD55B7"/>
    <w:rsid w:val="00CE6E2E"/>
    <w:rsid w:val="00CF1900"/>
    <w:rsid w:val="00D0250C"/>
    <w:rsid w:val="00D06691"/>
    <w:rsid w:val="00D10D3C"/>
    <w:rsid w:val="00D15183"/>
    <w:rsid w:val="00D43C24"/>
    <w:rsid w:val="00D544FD"/>
    <w:rsid w:val="00D5671D"/>
    <w:rsid w:val="00D66460"/>
    <w:rsid w:val="00D66D04"/>
    <w:rsid w:val="00D714FF"/>
    <w:rsid w:val="00D75A82"/>
    <w:rsid w:val="00D7629B"/>
    <w:rsid w:val="00D85A40"/>
    <w:rsid w:val="00D86FAB"/>
    <w:rsid w:val="00D95BFE"/>
    <w:rsid w:val="00D95EC9"/>
    <w:rsid w:val="00D97771"/>
    <w:rsid w:val="00DA2720"/>
    <w:rsid w:val="00DB142C"/>
    <w:rsid w:val="00DB1A3B"/>
    <w:rsid w:val="00DC22B6"/>
    <w:rsid w:val="00DC262A"/>
    <w:rsid w:val="00DE01BB"/>
    <w:rsid w:val="00DF13D6"/>
    <w:rsid w:val="00DF1C04"/>
    <w:rsid w:val="00DF4C62"/>
    <w:rsid w:val="00E05845"/>
    <w:rsid w:val="00E23266"/>
    <w:rsid w:val="00E316B6"/>
    <w:rsid w:val="00E37127"/>
    <w:rsid w:val="00E37F7A"/>
    <w:rsid w:val="00E43294"/>
    <w:rsid w:val="00E45EBC"/>
    <w:rsid w:val="00E5492A"/>
    <w:rsid w:val="00E55248"/>
    <w:rsid w:val="00E559EE"/>
    <w:rsid w:val="00E60C44"/>
    <w:rsid w:val="00E6102E"/>
    <w:rsid w:val="00E65788"/>
    <w:rsid w:val="00E65F60"/>
    <w:rsid w:val="00E727D6"/>
    <w:rsid w:val="00E81ECE"/>
    <w:rsid w:val="00E858AC"/>
    <w:rsid w:val="00E87F06"/>
    <w:rsid w:val="00EA3345"/>
    <w:rsid w:val="00EA41B2"/>
    <w:rsid w:val="00EB35D5"/>
    <w:rsid w:val="00EC0E0B"/>
    <w:rsid w:val="00EC422E"/>
    <w:rsid w:val="00EC482F"/>
    <w:rsid w:val="00EC640C"/>
    <w:rsid w:val="00EE142B"/>
    <w:rsid w:val="00EE2364"/>
    <w:rsid w:val="00EF4DA9"/>
    <w:rsid w:val="00EF7FDA"/>
    <w:rsid w:val="00F05349"/>
    <w:rsid w:val="00F10F3C"/>
    <w:rsid w:val="00F166EB"/>
    <w:rsid w:val="00F16A59"/>
    <w:rsid w:val="00F42CF4"/>
    <w:rsid w:val="00F500F6"/>
    <w:rsid w:val="00F60C17"/>
    <w:rsid w:val="00F611DE"/>
    <w:rsid w:val="00F64D0B"/>
    <w:rsid w:val="00F74B07"/>
    <w:rsid w:val="00F74E73"/>
    <w:rsid w:val="00F74F67"/>
    <w:rsid w:val="00F8031D"/>
    <w:rsid w:val="00F84167"/>
    <w:rsid w:val="00F87E1B"/>
    <w:rsid w:val="00F87F08"/>
    <w:rsid w:val="00F91287"/>
    <w:rsid w:val="00F91FDB"/>
    <w:rsid w:val="00F93071"/>
    <w:rsid w:val="00F95607"/>
    <w:rsid w:val="00FA1C5E"/>
    <w:rsid w:val="00FB6F20"/>
    <w:rsid w:val="00FC0293"/>
    <w:rsid w:val="00FC658D"/>
    <w:rsid w:val="00FD0D96"/>
    <w:rsid w:val="00FD3CD6"/>
    <w:rsid w:val="00FD44A9"/>
    <w:rsid w:val="00FE2105"/>
    <w:rsid w:val="00FE4799"/>
    <w:rsid w:val="00FE6FB9"/>
    <w:rsid w:val="00FF32C1"/>
    <w:rsid w:val="00FF3908"/>
    <w:rsid w:val="00FF418E"/>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1845CA"/>
    <w:rPr>
      <w:rFonts w:eastAsiaTheme="majorEastAsia" w:cstheme="majorBidi"/>
      <w:b/>
      <w:sz w:val="22"/>
      <w:szCs w:val="32"/>
    </w:rPr>
  </w:style>
  <w:style w:type="character" w:customStyle="1" w:styleId="Titolo2Carattere">
    <w:name w:val="Titolo 2 Carattere"/>
    <w:basedOn w:val="Carpredefinitoparagrafo"/>
    <w:link w:val="Titolo2"/>
    <w:uiPriority w:val="9"/>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semiHidden/>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semiHidden/>
    <w:rsid w:val="001845CA"/>
    <w:rPr>
      <w:sz w:val="20"/>
      <w:szCs w:val="20"/>
    </w:rPr>
  </w:style>
  <w:style w:type="character" w:styleId="Rimandonotaapidipagina">
    <w:name w:val="footnote reference"/>
    <w:basedOn w:val="Carpredefinitoparagrafo"/>
    <w:uiPriority w:val="99"/>
    <w:semiHidden/>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paragraph" w:customStyle="1" w:styleId="usoboll1">
    <w:name w:val="usoboll1"/>
    <w:basedOn w:val="Normale"/>
    <w:rsid w:val="002A467C"/>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t.it/content/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azione-restart@pe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eria@fondazione-restart.it" TargetMode="External"/><Relationship Id="rId4" Type="http://schemas.openxmlformats.org/officeDocument/2006/relationships/settings" Target="settings.xml"/><Relationship Id="rId9" Type="http://schemas.openxmlformats.org/officeDocument/2006/relationships/hyperlink" Target="http://www.gazzettaufficiale.it/eli/gu/2021/07/30/181/so/26/sg/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DBAC-D94F-4BF8-9B1A-EBB65341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10722</Words>
  <Characters>61117</Characters>
  <Application>Microsoft Office Word</Application>
  <DocSecurity>0</DocSecurity>
  <Lines>509</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Sergio Palazzo</cp:lastModifiedBy>
  <cp:revision>2</cp:revision>
  <cp:lastPrinted>2023-01-30T13:41:00Z</cp:lastPrinted>
  <dcterms:created xsi:type="dcterms:W3CDTF">2023-11-21T11:02:00Z</dcterms:created>
  <dcterms:modified xsi:type="dcterms:W3CDTF">2023-11-21T11:02:00Z</dcterms:modified>
</cp:coreProperties>
</file>